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04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Межрегиональное территориальное управление</w:t>
      </w:r>
    </w:p>
    <w:p w14:paraId="05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Федерального агентства по управлению государственным имуществом</w:t>
      </w:r>
    </w:p>
    <w:p w14:paraId="06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в Забайкальском крае и Республике Бурятия</w:t>
      </w:r>
    </w:p>
    <w:p w14:paraId="07000000">
      <w:pPr>
        <w:widowControl w:val="1"/>
        <w:ind/>
        <w:jc w:val="center"/>
        <w:rPr>
          <w:b w:val="1"/>
          <w:sz w:val="32"/>
        </w:rPr>
      </w:pPr>
    </w:p>
    <w:p w14:paraId="08000000">
      <w:pPr>
        <w:widowControl w:val="1"/>
        <w:ind/>
        <w:jc w:val="center"/>
        <w:rPr>
          <w:b w:val="1"/>
          <w:sz w:val="32"/>
        </w:rPr>
      </w:pPr>
    </w:p>
    <w:p w14:paraId="09000000">
      <w:pPr>
        <w:widowControl w:val="1"/>
        <w:ind/>
        <w:jc w:val="center"/>
        <w:rPr>
          <w:b w:val="1"/>
          <w:sz w:val="32"/>
        </w:rPr>
      </w:pPr>
    </w:p>
    <w:p w14:paraId="0A000000">
      <w:pPr>
        <w:widowControl w:val="1"/>
        <w:spacing w:line="288" w:lineRule="auto"/>
        <w:ind/>
        <w:jc w:val="center"/>
        <w:rPr>
          <w:rFonts w:ascii="Times New Roman" w:hAnsi="Times New Roman"/>
          <w:b w:val="1"/>
          <w:sz w:val="30"/>
        </w:rPr>
      </w:pPr>
      <w:r>
        <w:rPr>
          <w:rFonts w:ascii="Times New Roman" w:hAnsi="Times New Roman"/>
          <w:b w:val="1"/>
          <w:sz w:val="30"/>
        </w:rPr>
        <w:t>Извещение о проведении электронного аукциона</w:t>
      </w:r>
      <w:r>
        <w:rPr>
          <w:rFonts w:ascii="Times New Roman" w:hAnsi="Times New Roman"/>
          <w:b w:val="1"/>
          <w:sz w:val="30"/>
        </w:rPr>
        <w:t xml:space="preserve"> </w:t>
      </w:r>
    </w:p>
    <w:p w14:paraId="0B000000">
      <w:pPr>
        <w:widowControl w:val="1"/>
        <w:spacing w:line="288" w:lineRule="auto"/>
        <w:ind/>
        <w:jc w:val="center"/>
        <w:rPr>
          <w:rFonts w:ascii="Times New Roman" w:hAnsi="Times New Roman"/>
          <w:b w:val="1"/>
          <w:sz w:val="30"/>
        </w:rPr>
      </w:pPr>
      <w:r>
        <w:rPr>
          <w:rFonts w:ascii="Times New Roman" w:hAnsi="Times New Roman"/>
          <w:b w:val="1"/>
          <w:sz w:val="30"/>
        </w:rPr>
        <w:t xml:space="preserve">на право заключения договора аренды земельного участка                     </w:t>
      </w:r>
      <w:r>
        <w:rPr>
          <w:rFonts w:ascii="Times New Roman" w:hAnsi="Times New Roman"/>
          <w:b w:val="1"/>
          <w:sz w:val="30"/>
        </w:rPr>
        <w:t>с кадастровым номером 75:20:200105:199, расположенного                     в с.Харагун Забайкальского края</w:t>
      </w:r>
    </w:p>
    <w:p w14:paraId="0C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0D000000">
      <w:pPr>
        <w:widowControl w:val="1"/>
        <w:ind/>
        <w:jc w:val="center"/>
        <w:rPr>
          <w:b w:val="1"/>
          <w:i w:val="1"/>
          <w:sz w:val="28"/>
        </w:rPr>
      </w:pPr>
    </w:p>
    <w:p w14:paraId="0E000000">
      <w:pPr>
        <w:widowControl w:val="1"/>
        <w:ind/>
        <w:jc w:val="center"/>
        <w:rPr>
          <w:b w:val="1"/>
          <w:i w:val="1"/>
          <w:sz w:val="28"/>
        </w:rPr>
      </w:pPr>
    </w:p>
    <w:tbl>
      <w:tblPr>
        <w:tblStyle w:val="Style_2"/>
        <w:tblW w:type="auto" w:w="0"/>
        <w:tblInd w:type="dxa" w:w="817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3910"/>
        <w:gridCol w:w="3886"/>
      </w:tblGrid>
      <w:tr>
        <w:tc>
          <w:tcPr>
            <w:tcW w:type="dxa" w:w="391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F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начала приема заявок</w:t>
            </w:r>
            <w:r>
              <w:rPr>
                <w:rFonts w:ascii="Times New Roman" w:hAnsi="Times New Roman"/>
              </w:rPr>
              <w:t xml:space="preserve"> на участие в аукционе</w:t>
            </w:r>
            <w:r>
              <w:rPr>
                <w:rFonts w:ascii="Times New Roman" w:hAnsi="Times New Roman"/>
              </w:rPr>
              <w:t>:</w:t>
            </w:r>
          </w:p>
          <w:p w14:paraId="10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</w:rPr>
            </w:pPr>
          </w:p>
        </w:tc>
        <w:tc>
          <w:tcPr>
            <w:tcW w:type="dxa" w:w="38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1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июня 2026 года</w:t>
            </w:r>
          </w:p>
        </w:tc>
      </w:tr>
      <w:tr>
        <w:tc>
          <w:tcPr>
            <w:tcW w:type="dxa" w:w="391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2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окончания приема заявок</w:t>
            </w:r>
            <w:r>
              <w:rPr>
                <w:rFonts w:ascii="Times New Roman" w:hAnsi="Times New Roman"/>
              </w:rPr>
              <w:t xml:space="preserve"> на участие в аукционе</w:t>
            </w:r>
            <w:r>
              <w:rPr>
                <w:rFonts w:ascii="Times New Roman" w:hAnsi="Times New Roman"/>
              </w:rPr>
              <w:t>:</w:t>
            </w:r>
          </w:p>
          <w:p w14:paraId="13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</w:rPr>
            </w:pPr>
          </w:p>
        </w:tc>
        <w:tc>
          <w:tcPr>
            <w:tcW w:type="dxa" w:w="38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4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</w:rPr>
              <w:t xml:space="preserve"> ию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я 2026 года</w:t>
            </w:r>
          </w:p>
        </w:tc>
      </w:tr>
      <w:tr>
        <w:tc>
          <w:tcPr>
            <w:tcW w:type="dxa" w:w="391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5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рассмотрения заявок на участие в аукционе</w:t>
            </w:r>
            <w:r>
              <w:rPr>
                <w:rFonts w:ascii="Times New Roman" w:hAnsi="Times New Roman"/>
              </w:rPr>
              <w:t>:</w:t>
            </w:r>
          </w:p>
          <w:p w14:paraId="16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</w:rPr>
            </w:pPr>
          </w:p>
        </w:tc>
        <w:tc>
          <w:tcPr>
            <w:tcW w:type="dxa" w:w="38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7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июля</w:t>
            </w:r>
            <w:r>
              <w:rPr>
                <w:rFonts w:ascii="Times New Roman" w:hAnsi="Times New Roman"/>
              </w:rPr>
              <w:t xml:space="preserve"> по 09 июля</w:t>
            </w:r>
            <w:r>
              <w:rPr>
                <w:rFonts w:ascii="Times New Roman" w:hAnsi="Times New Roman"/>
              </w:rPr>
              <w:t xml:space="preserve"> 2026 года</w:t>
            </w:r>
          </w:p>
        </w:tc>
      </w:tr>
      <w:tr>
        <w:tc>
          <w:tcPr>
            <w:tcW w:type="dxa" w:w="391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8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аукциона:</w:t>
            </w:r>
          </w:p>
          <w:p w14:paraId="19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</w:rPr>
            </w:pPr>
          </w:p>
        </w:tc>
        <w:tc>
          <w:tcPr>
            <w:tcW w:type="dxa" w:w="38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A000000">
            <w:pPr>
              <w:pStyle w:val="Style_3"/>
              <w:widowControl w:val="1"/>
              <w:spacing w:line="264" w:lineRule="auto"/>
              <w:ind w:right="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июля 2026 года</w:t>
            </w:r>
          </w:p>
        </w:tc>
      </w:tr>
    </w:tbl>
    <w:p w14:paraId="1B000000">
      <w:pPr>
        <w:pStyle w:val="Style_3"/>
        <w:widowControl w:val="1"/>
        <w:spacing w:line="264" w:lineRule="auto"/>
        <w:ind w:firstLine="720" w:right="57"/>
        <w:rPr>
          <w:sz w:val="28"/>
        </w:rPr>
      </w:pPr>
    </w:p>
    <w:p w14:paraId="1C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1D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1E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1F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0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1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2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3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4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5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6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7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8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9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A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B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аукциона</w:t>
      </w:r>
      <w:r>
        <w:rPr>
          <w:rFonts w:ascii="Times New Roman" w:hAnsi="Times New Roman"/>
          <w:b w:val="1"/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 xml:space="preserve">Уполномоченный орган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</w:t>
      </w:r>
      <w:r>
        <w:rPr>
          <w:rFonts w:ascii="Times New Roman" w:hAnsi="Times New Roman"/>
          <w:sz w:val="24"/>
        </w:rPr>
        <w:t xml:space="preserve"> (Сокращенное наименование: МТУ Росимущества в Забайкальском крае и  Республике Бурятия)</w:t>
      </w:r>
    </w:p>
    <w:p w14:paraId="2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Адрес: 672002, Забайкальский край, г.Чита, ул.Амурская, д.68, E-mail: tu75@rosim.gov.ru, тел.(3022) 35-95-83, </w:t>
      </w:r>
      <w:r>
        <w:rPr>
          <w:rFonts w:ascii="Times New Roman" w:hAnsi="Times New Roman"/>
          <w:sz w:val="24"/>
        </w:rPr>
        <w:t>35-71-09</w:t>
      </w:r>
      <w:r>
        <w:rPr>
          <w:rFonts w:ascii="Times New Roman" w:hAnsi="Times New Roman"/>
          <w:sz w:val="24"/>
        </w:rPr>
        <w:t>.</w:t>
      </w:r>
    </w:p>
    <w:p w14:paraId="2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Реквизиты решения о</w:t>
      </w:r>
      <w:r>
        <w:rPr>
          <w:rFonts w:ascii="Times New Roman" w:hAnsi="Times New Roman"/>
          <w:b w:val="1"/>
          <w:sz w:val="24"/>
        </w:rPr>
        <w:t xml:space="preserve"> проведени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электронного </w:t>
      </w:r>
      <w:r>
        <w:rPr>
          <w:rFonts w:ascii="Times New Roman" w:hAnsi="Times New Roman"/>
          <w:b w:val="1"/>
          <w:sz w:val="24"/>
        </w:rPr>
        <w:t>аукциона</w:t>
      </w:r>
      <w:r>
        <w:rPr>
          <w:b w:val="1"/>
        </w:rPr>
        <w:t xml:space="preserve"> - </w:t>
      </w:r>
      <w:r>
        <w:rPr>
          <w:rFonts w:ascii="Times New Roman" w:hAnsi="Times New Roman"/>
          <w:sz w:val="24"/>
        </w:rPr>
        <w:t xml:space="preserve">распоряжение </w:t>
      </w:r>
      <w:r>
        <w:rPr>
          <w:rFonts w:ascii="Times New Roman" w:hAnsi="Times New Roman"/>
          <w:sz w:val="24"/>
        </w:rPr>
        <w:t>МТУ Росимущества в Забайкальском крае и  Республике Бурятия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sz w:val="24"/>
        </w:rPr>
        <w:t>04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06</w:t>
      </w:r>
      <w:r>
        <w:rPr>
          <w:rFonts w:ascii="Times New Roman" w:hAnsi="Times New Roman"/>
          <w:sz w:val="24"/>
        </w:rPr>
        <w:t>.202</w:t>
      </w:r>
      <w:bookmarkStart w:id="1" w:name="_GoBack"/>
      <w:bookmarkEnd w:id="1"/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75-</w:t>
      </w:r>
      <w:r>
        <w:rPr>
          <w:rFonts w:ascii="Times New Roman" w:hAnsi="Times New Roman"/>
          <w:sz w:val="24"/>
        </w:rPr>
        <w:t>270</w:t>
      </w:r>
      <w:r>
        <w:rPr>
          <w:rFonts w:ascii="Times New Roman" w:hAnsi="Times New Roman"/>
          <w:sz w:val="24"/>
        </w:rPr>
        <w:t xml:space="preserve">-р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 xml:space="preserve">О проведении электронного аукциона на право заключения договора аренды 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емельного участка с кадастровым номером 75:20:200105:199, расположенного в с.Харагун Забайкальского края</w:t>
      </w:r>
      <w:r>
        <w:rPr>
          <w:rFonts w:ascii="Times New Roman" w:hAnsi="Times New Roman"/>
          <w:sz w:val="24"/>
        </w:rPr>
        <w:t>».</w:t>
      </w:r>
    </w:p>
    <w:p w14:paraId="2E000000">
      <w:pPr>
        <w:pStyle w:val="Style_4"/>
        <w:widowControl w:val="1"/>
        <w:spacing w:before="0"/>
        <w:ind/>
        <w:outlineLvl w:val="0"/>
      </w:pPr>
      <w:r>
        <w:t>А</w:t>
      </w:r>
      <w:r>
        <w:t>укцион проводится в соответствии со статьями 39.11, 39.12</w:t>
      </w:r>
      <w:r>
        <w:t>, 39.13</w:t>
      </w:r>
      <w:r>
        <w:t xml:space="preserve"> Земельного кодекса Российской Федерации.</w:t>
      </w:r>
    </w:p>
    <w:p w14:paraId="2F000000">
      <w:pPr>
        <w:pStyle w:val="Style_4"/>
        <w:widowControl w:val="1"/>
        <w:spacing w:before="0"/>
        <w:ind/>
        <w:outlineLvl w:val="0"/>
      </w:pPr>
      <w:r>
        <w:t>Аукцион проводится в электронной форме (электронный аукцион).</w:t>
      </w:r>
      <w:r>
        <w:t xml:space="preserve"> </w:t>
      </w:r>
    </w:p>
    <w:p w14:paraId="30000000">
      <w:pPr>
        <w:pStyle w:val="Style_4"/>
        <w:widowControl w:val="1"/>
        <w:spacing w:before="0"/>
        <w:ind/>
        <w:outlineLvl w:val="0"/>
      </w:pPr>
      <w:r>
        <w:t>Электронный аукцион является открытым по составу участников.</w:t>
      </w:r>
    </w:p>
    <w:p w14:paraId="31000000">
      <w:pPr>
        <w:pStyle w:val="Style_3"/>
        <w:widowControl w:val="1"/>
        <w:spacing w:after="0"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Извещение о проведении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>аукциона размеща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тся на официальном сайте Российской Федерации, определенном Правительством Российской Федерации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"http://torgi.gov.ru/"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torgi.gov.ru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(далее – официальный сайт торгов) и доступн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для ознакомления без взимания платы.</w:t>
      </w:r>
    </w:p>
    <w:p w14:paraId="32000000">
      <w:pPr>
        <w:pStyle w:val="Style_3"/>
        <w:widowControl w:val="1"/>
        <w:spacing w:after="0"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Организатор аукциона вправе отказаться от проведения аукциона не позднее чем за 3 дня до даты проведения аукциона.</w:t>
      </w:r>
    </w:p>
    <w:p w14:paraId="33000000">
      <w:pPr>
        <w:widowControl w:val="1"/>
        <w:tabs>
          <w:tab w:leader="none" w:pos="0" w:val="left"/>
        </w:tabs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Оператор электронной площадки</w:t>
      </w:r>
    </w:p>
    <w:p w14:paraId="34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</w:t>
      </w:r>
      <w:r>
        <w:rPr>
          <w:rFonts w:ascii="Times New Roman" w:hAnsi="Times New Roman"/>
          <w:sz w:val="24"/>
        </w:rPr>
        <w:t xml:space="preserve"> оператора электронной площадки</w:t>
      </w:r>
      <w:r>
        <w:rPr>
          <w:rFonts w:ascii="Times New Roman" w:hAnsi="Times New Roman"/>
          <w:sz w:val="24"/>
        </w:rPr>
        <w:t xml:space="preserve"> – Акционерное общество «Сбербанк - Автоматизированная система торгов» (АО «Сбербанк-АСТ»)</w:t>
      </w:r>
    </w:p>
    <w:p w14:paraId="35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– 119435, г. Москва, Большой Саввинский переулок, дом 12, строение 9.</w:t>
      </w:r>
    </w:p>
    <w:p w14:paraId="36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Сайт -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"https://utp.sberbank-ast.ru/"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https://utp.sberbank-ast.ru/</w:t>
      </w:r>
      <w:r>
        <w:rPr>
          <w:rFonts w:ascii="Times New Roman" w:hAnsi="Times New Roman"/>
          <w:sz w:val="24"/>
        </w:rPr>
        <w:fldChar w:fldCharType="end"/>
      </w:r>
    </w:p>
    <w:p w14:paraId="37000000">
      <w:pPr>
        <w:pStyle w:val="Style_5"/>
        <w:widowControl w:val="1"/>
        <w:spacing w:before="0"/>
        <w:ind/>
        <w:jc w:val="center"/>
        <w:rPr>
          <w:sz w:val="16"/>
        </w:rPr>
      </w:pPr>
    </w:p>
    <w:p w14:paraId="38000000">
      <w:pPr>
        <w:pStyle w:val="Style_5"/>
        <w:widowControl w:val="1"/>
        <w:spacing w:after="40" w:before="0"/>
        <w:ind/>
        <w:rPr>
          <w:b w:val="1"/>
          <w:sz w:val="24"/>
        </w:rPr>
      </w:pPr>
      <w:r>
        <w:rPr>
          <w:b w:val="1"/>
          <w:sz w:val="24"/>
        </w:rPr>
        <w:t>Сведения о предмете аукциона</w:t>
      </w:r>
    </w:p>
    <w:p w14:paraId="39000000">
      <w:pPr>
        <w:pStyle w:val="Style_4"/>
        <w:widowControl w:val="1"/>
        <w:spacing w:before="0"/>
        <w:ind/>
        <w:outlineLvl w:val="0"/>
      </w:pPr>
      <w:r>
        <w:t xml:space="preserve">Предмет аукциона – право на </w:t>
      </w:r>
      <w:r>
        <w:t>заключени</w:t>
      </w:r>
      <w:r>
        <w:t>е</w:t>
      </w:r>
      <w:r>
        <w:t xml:space="preserve"> договора аренды </w:t>
      </w:r>
      <w:r>
        <w:t>з</w:t>
      </w:r>
      <w:r>
        <w:t>емельного участка</w:t>
      </w:r>
      <w:r>
        <w:t xml:space="preserve"> </w:t>
      </w:r>
      <w:r>
        <w:t xml:space="preserve">площадью 77070 кв.м, из земель населенных пунктов, с кадастровым номером 75:20:200105:199, </w:t>
      </w:r>
      <w:r>
        <w:t xml:space="preserve">с </w:t>
      </w:r>
      <w:r>
        <w:t>вид</w:t>
      </w:r>
      <w:r>
        <w:t>ом</w:t>
      </w:r>
      <w:r>
        <w:t xml:space="preserve"> разрешенного использования</w:t>
      </w:r>
      <w:r>
        <w:t xml:space="preserve"> -</w:t>
      </w:r>
      <w:r>
        <w:t xml:space="preserve"> для производственных целей, местоположение установлено относительно ориентира, расположенного в границах участка. Почтовый адрес ориентира: Забайкальский край, р-н Хилокский, с Харагун, ул Дорожная, 5а/5</w:t>
      </w:r>
      <w:r>
        <w:t>.</w:t>
      </w:r>
      <w:r>
        <w:t xml:space="preserve">  </w:t>
      </w:r>
    </w:p>
    <w:p w14:paraId="3A000000">
      <w:pPr>
        <w:pStyle w:val="Style_4"/>
        <w:widowControl w:val="1"/>
        <w:spacing w:before="0"/>
        <w:ind/>
        <w:outlineLvl w:val="0"/>
      </w:pPr>
      <w:r>
        <w:t>Земельный участок принадлежит Российской Федерации на праве собственности, о чём в Едином государственном реестре недвижимо</w:t>
      </w:r>
      <w:r>
        <w:t>сти</w:t>
      </w:r>
      <w:r>
        <w:t xml:space="preserve"> </w:t>
      </w:r>
      <w:r>
        <w:t>2</w:t>
      </w:r>
      <w:r>
        <w:t>8</w:t>
      </w:r>
      <w:r>
        <w:t>.0</w:t>
      </w:r>
      <w:r>
        <w:t>3</w:t>
      </w:r>
      <w:r>
        <w:t>.20</w:t>
      </w:r>
      <w:r>
        <w:t>25</w:t>
      </w:r>
      <w:r>
        <w:t xml:space="preserve"> сделана запись регистрации № </w:t>
      </w:r>
      <w:r>
        <w:t>75:20:200105:199</w:t>
      </w:r>
      <w:r>
        <w:t>-75/</w:t>
      </w:r>
      <w:r>
        <w:t>0</w:t>
      </w:r>
      <w:r>
        <w:t>68</w:t>
      </w:r>
      <w:r>
        <w:t>/2025-19</w:t>
      </w:r>
      <w:r>
        <w:t>.</w:t>
      </w:r>
      <w:r>
        <w:t xml:space="preserve"> </w:t>
      </w:r>
      <w:r>
        <w:t>Р</w:t>
      </w:r>
      <w:r>
        <w:t xml:space="preserve">еестровый номер федерального имущества П11750008480. </w:t>
      </w:r>
    </w:p>
    <w:p w14:paraId="3B000000">
      <w:pPr>
        <w:pStyle w:val="Style_4"/>
        <w:widowControl w:val="1"/>
        <w:spacing w:before="0"/>
        <w:ind/>
        <w:outlineLvl w:val="0"/>
      </w:pPr>
      <w:r>
        <w:t>З</w:t>
      </w:r>
      <w:r>
        <w:t>емельный участок расположен в границах Байкальской природной те</w:t>
      </w:r>
      <w:r>
        <w:t>рритории и ее экологических зон 75:00-9.2</w:t>
      </w:r>
      <w:r>
        <w:t xml:space="preserve"> (с</w:t>
      </w:r>
      <w:r>
        <w:t>огласно выписке из ЕГРН</w:t>
      </w:r>
      <w:r>
        <w:t>).</w:t>
      </w:r>
    </w:p>
    <w:p w14:paraId="3C000000">
      <w:pPr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Основные виды разрешенного использования земельного участка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(с</w:t>
      </w:r>
      <w:r>
        <w:rPr>
          <w:rFonts w:ascii="Times New Roman" w:hAnsi="Times New Roman"/>
          <w:color w:val="000000"/>
          <w:sz w:val="24"/>
        </w:rPr>
        <w:t xml:space="preserve">огласно </w:t>
      </w:r>
      <w:r>
        <w:rPr>
          <w:rFonts w:ascii="Times New Roman" w:hAnsi="Times New Roman"/>
          <w:color w:val="000000"/>
          <w:sz w:val="24"/>
        </w:rPr>
        <w:t>г</w:t>
      </w:r>
      <w:r>
        <w:rPr>
          <w:rFonts w:ascii="Times New Roman" w:hAnsi="Times New Roman"/>
          <w:color w:val="000000"/>
          <w:sz w:val="24"/>
        </w:rPr>
        <w:t>радостроительному плану земельного участка</w:t>
      </w:r>
      <w:r>
        <w:rPr>
          <w:rFonts w:ascii="Times New Roman" w:hAnsi="Times New Roman"/>
          <w:color w:val="000000"/>
          <w:sz w:val="24"/>
        </w:rPr>
        <w:t>):</w:t>
      </w:r>
    </w:p>
    <w:p w14:paraId="3D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Промышленные предприятия и коммунально-складские организации IV класса вредности:</w:t>
      </w:r>
    </w:p>
    <w:p w14:paraId="3E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химические объекты и производства;</w:t>
      </w:r>
    </w:p>
    <w:p w14:paraId="3F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металлургические, машиностроительные и металлообрабатывающие объекты и производства;</w:t>
      </w:r>
    </w:p>
    <w:p w14:paraId="40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добыча руд и нерудных ископаемых;</w:t>
      </w:r>
    </w:p>
    <w:p w14:paraId="41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предприятия строительной промышленности;</w:t>
      </w:r>
    </w:p>
    <w:p w14:paraId="42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предприятия по обработке древесины;</w:t>
      </w:r>
    </w:p>
    <w:p w14:paraId="43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текстильные промышленные объекты и производства лёгкой промышленности;</w:t>
      </w:r>
    </w:p>
    <w:p w14:paraId="44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предприятия по обработке животных продуктов;</w:t>
      </w:r>
    </w:p>
    <w:p w14:paraId="45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промышленные объекты и производства по обработке пищевых продуктов и вкусовых веществ;</w:t>
      </w:r>
    </w:p>
    <w:p w14:paraId="46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микробиологическое промышленность;</w:t>
      </w:r>
    </w:p>
    <w:p w14:paraId="47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производство электрической и тепловой энергии при сжигании минерального топлива;</w:t>
      </w:r>
    </w:p>
    <w:p w14:paraId="48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базы районного назначения для сбора утильсырья;</w:t>
      </w:r>
    </w:p>
    <w:p w14:paraId="49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объекты по обслуживанию легковых, грузовых автомобилей с количеством постов не более 10,</w:t>
      </w:r>
    </w:p>
    <w:p w14:paraId="4A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таксомоторный парк;</w:t>
      </w:r>
    </w:p>
    <w:p w14:paraId="4B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механизированные транспортные парки по очистке города (КМУ) без ремонтной базы;</w:t>
      </w:r>
    </w:p>
    <w:p w14:paraId="4C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стоянки (парки) грузового междугородного автотранспорта;</w:t>
      </w:r>
    </w:p>
    <w:p w14:paraId="4D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автозаправочные станции для заправки грузового и легкового автотранспорта жидким 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газовым топливом;</w:t>
      </w:r>
    </w:p>
    <w:p w14:paraId="4E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мойки грузовых автомобшей портального типа (размещаются в границах промышленных и</w:t>
      </w:r>
    </w:p>
    <w:p w14:paraId="4F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коммунально-складских зон, на магистралях на въезде в город, на территории автотранспортных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предприятий);</w:t>
      </w:r>
    </w:p>
    <w:p w14:paraId="50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химчистки;</w:t>
      </w:r>
    </w:p>
    <w:p w14:paraId="51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прачечные;</w:t>
      </w:r>
    </w:p>
    <w:p w14:paraId="52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банно-прачечные комбинаты;</w:t>
      </w:r>
    </w:p>
    <w:p w14:paraId="53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физкультурно-оздоровительные сооружения открытого типа со стационарными трибунами</w:t>
      </w:r>
    </w:p>
    <w:p w14:paraId="54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вместимостью до 500 мест;</w:t>
      </w:r>
    </w:p>
    <w:p w14:paraId="55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автобусные и троллейбусные парки до 300 машин;</w:t>
      </w:r>
    </w:p>
    <w:p w14:paraId="56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ветлечебницы с содержанием животных, виварии, питомники, кинологические центры, пункты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передержки животных;</w:t>
      </w:r>
    </w:p>
    <w:p w14:paraId="57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мусороперегрузочные станции;</w:t>
      </w:r>
    </w:p>
    <w:p w14:paraId="58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СИЗО, приемники-распределители;</w:t>
      </w:r>
    </w:p>
    <w:p w14:paraId="59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мойка автомобилей с количеством постов от 2 до 5;</w:t>
      </w:r>
    </w:p>
    <w:p w14:paraId="5A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склады, причалы и места перегрузки и хранения грузов, производства фумигации грузов и судов,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грузовой дезинфекции, дератизации и дезинсекции.</w:t>
      </w:r>
    </w:p>
    <w:p w14:paraId="5B000000">
      <w:pPr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Условно разрешенные виды использования земельного участка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(с</w:t>
      </w:r>
      <w:r>
        <w:rPr>
          <w:rFonts w:ascii="Times New Roman" w:hAnsi="Times New Roman"/>
          <w:color w:val="000000"/>
          <w:sz w:val="24"/>
        </w:rPr>
        <w:t xml:space="preserve">огласно </w:t>
      </w:r>
      <w:r>
        <w:rPr>
          <w:rFonts w:ascii="Times New Roman" w:hAnsi="Times New Roman"/>
          <w:color w:val="000000"/>
          <w:sz w:val="24"/>
        </w:rPr>
        <w:t>г</w:t>
      </w:r>
      <w:r>
        <w:rPr>
          <w:rFonts w:ascii="Times New Roman" w:hAnsi="Times New Roman"/>
          <w:color w:val="000000"/>
          <w:sz w:val="24"/>
        </w:rPr>
        <w:t>радостроительному плану земельного участка</w:t>
      </w:r>
      <w:r>
        <w:rPr>
          <w:rFonts w:ascii="Times New Roman" w:hAnsi="Times New Roman"/>
          <w:color w:val="000000"/>
          <w:sz w:val="24"/>
        </w:rPr>
        <w:t>):</w:t>
      </w:r>
    </w:p>
    <w:p w14:paraId="5C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-аптеки;</w:t>
      </w:r>
    </w:p>
    <w:p w14:paraId="5D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ведомственные общежития;</w:t>
      </w:r>
    </w:p>
    <w:p w14:paraId="5E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-пункты оказания первой медицинской помощи;</w:t>
      </w:r>
    </w:p>
    <w:p w14:paraId="5F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-специализированные магазины оптовой, мелкооптовой, розничной торговли по продаже товаров</w:t>
      </w:r>
    </w:p>
    <w:p w14:paraId="60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собственного производства предприятий;</w:t>
      </w:r>
    </w:p>
    <w:p w14:paraId="61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-ветеринарные приемные пункты;</w:t>
      </w:r>
    </w:p>
    <w:p w14:paraId="62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-объекты хранения автомобилей: гаражи боксового типа, многоэтажные, подземные и наземные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гаражи, автостоянки на отдельном земельном участке;</w:t>
      </w:r>
    </w:p>
    <w:p w14:paraId="63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-станции технического обслуживания автомобшей;</w:t>
      </w:r>
    </w:p>
    <w:p w14:paraId="64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-авторемонтные предприятш;</w:t>
      </w:r>
    </w:p>
    <w:p w14:paraId="65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-антенны сотовой, радиорелейной, спутниковой связи;</w:t>
      </w:r>
    </w:p>
    <w:p w14:paraId="66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-санитарно-технические сооружения и установки коммунального назначения</w:t>
      </w:r>
      <w:r>
        <w:rPr>
          <w:rFonts w:ascii="Times New Roman" w:hAnsi="Times New Roman"/>
          <w:color w:val="000000"/>
          <w:sz w:val="24"/>
        </w:rPr>
        <w:t>.</w:t>
      </w:r>
    </w:p>
    <w:p w14:paraId="67000000">
      <w:pPr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Вспомогательные виды разрешенного использования земельного участка</w:t>
      </w:r>
      <w:r>
        <w:rPr>
          <w:rFonts w:ascii="Times New Roman" w:hAnsi="Times New Roman"/>
          <w:b w:val="1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(с</w:t>
      </w:r>
      <w:r>
        <w:rPr>
          <w:rFonts w:ascii="Times New Roman" w:hAnsi="Times New Roman"/>
          <w:color w:val="000000"/>
          <w:sz w:val="24"/>
        </w:rPr>
        <w:t xml:space="preserve">огласно </w:t>
      </w:r>
      <w:r>
        <w:rPr>
          <w:rFonts w:ascii="Times New Roman" w:hAnsi="Times New Roman"/>
          <w:color w:val="000000"/>
          <w:sz w:val="24"/>
        </w:rPr>
        <w:t>г</w:t>
      </w:r>
      <w:r>
        <w:rPr>
          <w:rFonts w:ascii="Times New Roman" w:hAnsi="Times New Roman"/>
          <w:color w:val="000000"/>
          <w:sz w:val="24"/>
        </w:rPr>
        <w:t>радостроительному плану земельного участка</w:t>
      </w: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z w:val="24"/>
        </w:rPr>
        <w:t>:</w:t>
      </w:r>
    </w:p>
    <w:p w14:paraId="68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-административные здания, офисы, конторы;</w:t>
      </w:r>
    </w:p>
    <w:p w14:paraId="69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-помещения обслуживающего персонала, дежурного аварийного персонала, охраны</w:t>
      </w:r>
    </w:p>
    <w:p w14:paraId="6A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предприятий;</w:t>
      </w:r>
    </w:p>
    <w:p w14:paraId="6B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-производственно-лабораторные корпуса;</w:t>
      </w:r>
    </w:p>
    <w:p w14:paraId="6C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-научно-исследовательские проектные и конструкторские организации, связанные 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обслуживанием предприятий;</w:t>
      </w:r>
    </w:p>
    <w:p w14:paraId="6D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-объекты складского назначения различного профиля, кроме складов сырья и полуфабрикатов</w:t>
      </w:r>
    </w:p>
    <w:p w14:paraId="6E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для фармацевтических предприятий, оптовых складов продовольственного сырья и пищевых</w:t>
      </w:r>
    </w:p>
    <w:p w14:paraId="6F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продуктов, а также комплексов водопроводных сооружений для подготовки и хранения питьевой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воды;</w:t>
      </w:r>
    </w:p>
    <w:p w14:paraId="70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коммунальные объекты и объекты инженерно-технического назначения, связанные 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обслуживанием объектов, расположенных в данной территориальной зоне;</w:t>
      </w:r>
    </w:p>
    <w:p w14:paraId="71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-предприятия общественного питания (кафе, столовые, буфеты), связанные 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непосредственным обслуживанием производственных и промышленных предприятий;</w:t>
      </w:r>
    </w:p>
    <w:p w14:paraId="72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-зеленые насаждения специального назначения;</w:t>
      </w:r>
    </w:p>
    <w:p w14:paraId="73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-питомники растений для озеленения промышленных территорий и санитарно-защитных зон;</w:t>
      </w:r>
    </w:p>
    <w:p w14:paraId="74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-открытые стоянки краткосрочного хранения автомобилей, площадки транзитного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транспорта с местами хранения автобусов, грузовых и легковых автомобилей;</w:t>
      </w:r>
    </w:p>
    <w:p w14:paraId="75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-объекты пожарной охраны.</w:t>
      </w:r>
    </w:p>
    <w:p w14:paraId="76000000">
      <w:pPr>
        <w:pStyle w:val="Style_4"/>
        <w:widowControl w:val="1"/>
        <w:spacing w:before="40"/>
        <w:ind/>
        <w:outlineLvl w:val="0"/>
      </w:pPr>
      <w:r>
        <w:rPr>
          <w:b w:val="1"/>
        </w:rPr>
        <w:t>Ограничения прав</w:t>
      </w:r>
      <w:r>
        <w:t>.</w:t>
      </w:r>
      <w:r>
        <w:t xml:space="preserve"> </w:t>
      </w:r>
      <w:r>
        <w:t xml:space="preserve">Согласно выписке из ЕГРН: </w:t>
      </w:r>
      <w:r>
        <w:t xml:space="preserve">имеются </w:t>
      </w:r>
      <w:r>
        <w:t>ограничения прав на земельный участок, предусмотренные статьей 56</w:t>
      </w:r>
      <w:r>
        <w:t xml:space="preserve"> </w:t>
      </w:r>
      <w:r>
        <w:t>Земельного кодекса Российской Федерации; срок действия: c 06.03.2017; реквизиты</w:t>
      </w:r>
      <w:r>
        <w:t xml:space="preserve"> </w:t>
      </w:r>
      <w:r>
        <w:t>документа-основания: карта (план) объекта землеустройства от 20.07.2014 № б/н выдан: ООО</w:t>
      </w:r>
      <w:r>
        <w:t xml:space="preserve"> </w:t>
      </w:r>
      <w:r>
        <w:t>"ГеоЛайн". вид ограничения (обременения): ограничения прав на земельный участок,</w:t>
      </w:r>
      <w:r>
        <w:t xml:space="preserve"> </w:t>
      </w:r>
      <w:r>
        <w:t>предусмотренные статьей 56 Земельного кодекса Российской Федерации; срок действия: c</w:t>
      </w:r>
      <w:r>
        <w:t xml:space="preserve"> </w:t>
      </w:r>
      <w:r>
        <w:t>17.10.2023; реквизиты документа-основания: решение "О согласовании границ охранной зоны</w:t>
      </w:r>
      <w:r>
        <w:t xml:space="preserve"> </w:t>
      </w:r>
      <w:r>
        <w:t>объекта электросетевого хозяйства" от 19.09.2025 № 3460 выдан: Забайкальское Управление</w:t>
      </w:r>
      <w:r>
        <w:t xml:space="preserve"> </w:t>
      </w:r>
      <w:r>
        <w:t>Федеральной службы по экологическому, технологическому и атомному надзору.</w:t>
      </w:r>
    </w:p>
    <w:p w14:paraId="77000000">
      <w:pPr>
        <w:pStyle w:val="Style_4"/>
        <w:widowControl w:val="1"/>
        <w:ind/>
        <w:outlineLvl w:val="0"/>
        <w:rPr>
          <w:b w:val="1"/>
        </w:rPr>
      </w:pPr>
      <w:r>
        <w:rPr>
          <w:b w:val="1"/>
        </w:rPr>
        <w:t>Части земельного участка</w:t>
      </w:r>
      <w:r>
        <w:rPr>
          <w:b w:val="1"/>
        </w:rPr>
        <w:t>, ограничения прав на части земельного участка</w:t>
      </w:r>
      <w:r>
        <w:rPr>
          <w:b w:val="1"/>
        </w:rPr>
        <w:t>.</w:t>
      </w:r>
    </w:p>
    <w:p w14:paraId="78000000">
      <w:pPr>
        <w:pStyle w:val="Style_4"/>
        <w:widowControl w:val="1"/>
        <w:ind/>
        <w:outlineLvl w:val="0"/>
      </w:pPr>
      <w:r>
        <w:t xml:space="preserve">В выписке из ЕГРН имеется информация о двух </w:t>
      </w:r>
      <w:r>
        <w:t>частях земельного уч</w:t>
      </w:r>
      <w:r>
        <w:t>а</w:t>
      </w:r>
      <w:r>
        <w:t>стка.</w:t>
      </w:r>
    </w:p>
    <w:p w14:paraId="79000000">
      <w:pPr>
        <w:pStyle w:val="Style_4"/>
        <w:widowControl w:val="1"/>
        <w:ind/>
        <w:outlineLvl w:val="0"/>
      </w:pPr>
      <w:r>
        <w:rPr>
          <w:u w:val="single"/>
        </w:rPr>
        <w:t>Учетный номер части 75:20:200105:199/1</w:t>
      </w:r>
      <w:r>
        <w:rPr>
          <w:u w:val="single"/>
        </w:rPr>
        <w:t>.</w:t>
      </w:r>
      <w:r>
        <w:t xml:space="preserve"> Площадь – 11559 кв.м. </w:t>
      </w:r>
    </w:p>
    <w:p w14:paraId="7A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ид ограничения (обременения): ограничения прав на земельный участок, предусмотренные статьей 56 Земельного кодекса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 Федерации;</w:t>
      </w:r>
    </w:p>
    <w:p w14:paraId="7B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действия: не установлен;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реквизиты документа-основания: карта (план) объекта землеустройства от 20.07.2014 № б/н выдан: ООО "ГеоЛайн";</w:t>
      </w:r>
    </w:p>
    <w:p w14:paraId="7C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ограничения (обременения): Объект землеустройства Воздушная линия электропередач ВЛ-10 кВ Харагунский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участок, ТПС ≪Харагун≫ 220/27, 35/10 кВ, ТП 101, ТП 101А, ТП 102, ТП 103, ТП 105, ТП 106, ТП 107, ТП 108, ТП 109, 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адресу: Россия, Забайкальский край, Хилокский район, с. Харагун-с. Сарантуй, отнесен к зонам с особыми условиями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использования территории - охранным зонам объектов электросетевого хозяйства. Режим использования установлен 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8, 9, 10, 11, 12, 13, 14,15 Правилами охраны электрических сетей,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размещенных на земельных участках. Утверждены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постановлением Правительства Российской Федерации № 160 от 24.02.2009 г.;</w:t>
      </w:r>
    </w:p>
    <w:p w14:paraId="7D000000">
      <w:pPr>
        <w:pStyle w:val="Style_4"/>
        <w:widowControl w:val="1"/>
        <w:spacing w:before="0"/>
        <w:ind/>
        <w:outlineLvl w:val="0"/>
      </w:pPr>
      <w:r>
        <w:t>Реестровый номер границы: 75.20.2.15</w:t>
      </w:r>
    </w:p>
    <w:p w14:paraId="7E000000">
      <w:pPr>
        <w:pStyle w:val="Style_4"/>
        <w:widowControl w:val="1"/>
        <w:ind/>
        <w:outlineLvl w:val="0"/>
      </w:pPr>
      <w:r>
        <w:rPr>
          <w:u w:val="single"/>
        </w:rPr>
        <w:t>Учетный номер части 75:20:200105:199/</w:t>
      </w:r>
      <w:r>
        <w:rPr>
          <w:u w:val="single"/>
        </w:rPr>
        <w:t>2</w:t>
      </w:r>
      <w:r>
        <w:rPr>
          <w:u w:val="single"/>
        </w:rPr>
        <w:t>.</w:t>
      </w:r>
      <w:r>
        <w:t xml:space="preserve"> Площадь – </w:t>
      </w:r>
      <w:r>
        <w:t>9083</w:t>
      </w:r>
      <w:r>
        <w:t xml:space="preserve"> кв.м. </w:t>
      </w:r>
    </w:p>
    <w:p w14:paraId="7F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ид ограничения (обременения): ограничения прав на земельный участок, предусмотренные статьей 56 Земельного кодекса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 Федерации;</w:t>
      </w:r>
    </w:p>
    <w:p w14:paraId="80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действия: не установлен;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реквизиты документа-основания: решение "О согласовании границ охранной зоны объекта электросетевого хозяйства" 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19.09.2025 № 3460 выдан: Забайкальское Управление Федеральной службы по экологическому, технологическому и атомному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надзору;</w:t>
      </w:r>
    </w:p>
    <w:p w14:paraId="81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ограничения (обременения): Охранная зона устанавливается вдоль воздушных линий электропередачи - в виде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части поверхности участка земли и воздушного пространства (на высоту, соответствующую высоте опор воздушных линий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электропередачи), ограниченной параллельными вертикальными плоскостями, отстоящими по обе стороны линии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 от крайних проводов при не отклоненном их положении на расстоянии 10 метров. Ограничения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устанавливаются согласно постановлению Правительства РФ от 24.02.2009 г. № 160 "О порядке установления охранных зон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объектов электросетевого хозяйства и особых условий использования земельных участков, расположенных в границах таких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зон". Пункт 8-11. 8. В охранных зонах запрещается осуществлять любые действия, которые могут нарушить безопасную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работу объектов электросетевого хозяйства, в том числе привести к их повреждению или уничтожению, и (или) повлечь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причинение вреда жизни, здоровью граждан и имуществу физических или юридических лиц, а также повлечь нанесение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экологического ущерба и возникновение пожаров, в том числе: а) набрасывать на провода и опоры воздушных линий</w:t>
      </w:r>
    </w:p>
    <w:p w14:paraId="82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электропередачи посторонние предметы, а также подниматься на опоры воздушных линий </w:t>
      </w:r>
      <w:r>
        <w:rPr>
          <w:rFonts w:ascii="Times New Roman" w:hAnsi="Times New Roman"/>
          <w:sz w:val="24"/>
        </w:rPr>
        <w:t>э</w:t>
      </w:r>
      <w:r>
        <w:rPr>
          <w:rFonts w:ascii="Times New Roman" w:hAnsi="Times New Roman"/>
          <w:sz w:val="24"/>
        </w:rPr>
        <w:t>лектропередачи; б) размещать любые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объекты и предметы (материалы) в пределах созданных в соответствии с требованиями нормативно-технических документов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проходов и подъездов для доступа к объектам электросетевого хозяйства, а также проводить любые работы и возводить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сооружения, которые могут препятствовать доступу к объектам электросетевого хозяйства, без создания необходимых 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такого доступа проходов и подъездов; в) находиться в пределах огороженной территории и помещениях распределительных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 и подстанций, открывать двери и люки распределительных устройств и подстанций, производить переключения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подключения в электрических сетях (указанное требование не распространяется на работников, занятых выполнением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разрешенных в установленном порядке работ), разводить огонь в пределах охранных зон вводных и распределительных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устройств, подстанций, воздушных линий электропередачи, а также в охранных зонах кабельных линий электропередачи; г)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размещать свалки; д) производить работы ударными механизмами, сбрасывать тяжести массой свыше 5 тонн, производить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сброс и слив едких и коррозионных веществ и горюче-смазочных материалов (в охранных зонах подземных кабельных линий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электропередачи). 10. В пределах охранных зон без письменного решения о согласовании сетевых организаций юридическим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физическим лицам запрещаются: а) строительство, капитальный ремонт, реконструкция или снос зданий и сооружений; б)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горные, взрывные, мелиоративные работы, в том числе связанные с временным затоплением земель; в) посадка и вырубка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деревьев и кустарников; г) дноуглубительные, землечерпальные и погрузочно-разгрузочные работы, добыча рыбы, других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водных животных и растений придонными орудиями лова, устройство водопоев, колка и заготовка льда (в охранных зонах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подводных кабельных линий электропередачи); д) проход судов, у которых расстояние по вертикали от верхнего крайнего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габарита с грузом или без груза до нижней точки провеса проводов переходов воздушных линий электропередачи через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водоемы менее минимально допустимого расстояния, в том числе с учетом максимального уровня подъема воды при паводке;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е) проезд машин и механизмов, имеющих общую высоту с грузом или без груза от поверхности дороги более 4,5 метра (в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охранных зонах воздушных линий электропередачи); ж) земляные работы на глубине более 0,3 метра (на вспахиваемых землях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глубине более 0,45 метра), а также планировка грунта (в охранных зонах подземных кабельных линий электропередачи);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з) полив сельскохозяйственных культур в случае, если высота струи воды может составить свыше 3 метров (в охранных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зонах воздушных линий электропередачи); и) полевые сельскохозяйственные работы с применением сельскохозяйственных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машин и оборудования высотой более 4 метров (в охранных зонах воздушных линий электропередачи) или полевые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сельскохозяйственные работы, связанные с вспашкой земли (в охранных зонах кабельных линий электропередачи). 11. В</w:t>
      </w:r>
      <w:r>
        <w:t xml:space="preserve"> </w:t>
      </w:r>
      <w:r>
        <w:rPr>
          <w:rFonts w:ascii="Times New Roman" w:hAnsi="Times New Roman"/>
          <w:sz w:val="24"/>
        </w:rPr>
        <w:t>охранных зонах, установленных для объектов электросетевого хозяйства напряжением до 1000 вольт, помимо действий,</w:t>
      </w:r>
      <w:r>
        <w:t xml:space="preserve"> </w:t>
      </w:r>
      <w:r>
        <w:rPr>
          <w:rFonts w:ascii="Times New Roman" w:hAnsi="Times New Roman"/>
          <w:sz w:val="24"/>
        </w:rPr>
        <w:t xml:space="preserve">предусмотренных </w:t>
      </w:r>
      <w:r>
        <w:rPr>
          <w:rFonts w:ascii="Times New Roman" w:hAnsi="Times New Roman"/>
          <w:sz w:val="24"/>
        </w:rPr>
        <w:t>пунктом 10 настоящих Правил, без письменного решения о согласовании сетевых организаций запрещается: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а) размещать детские и спортивные площадки, стадионы, рынки, торговые точки, полевые станы, загоны для скота, гаражи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стоянки всех видов машин и механизмов, садовые, огородные земельные участки и иные объекты недвижимости, расположенные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границах территории ведения гражданами садоводства или огородничества для собственных нужд, объекты жилищного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строительства, в том числе индивидуального (в охранных зонах воздушных линий электропередачи); б) складировать 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размещать хранилища любых, в том числе горюче-смазочных, материалов; в) устраивать причалы для стоянки судов, барж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плавучих кранов, бросать якоря с судов и осуществлять их проход с отданными якорями, цепями, лотами, волокушами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тралами (в охранных зонах подводных кабельных линий электропередачи). Зона с особыми условиями использования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территории установлена бессрочно.;</w:t>
      </w:r>
    </w:p>
    <w:p w14:paraId="83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Реестровый номер границы: 75:20-6.12;</w:t>
      </w:r>
    </w:p>
    <w:p w14:paraId="84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 объекта реестра границ: Зона с особыми условиями использования территории;</w:t>
      </w:r>
    </w:p>
    <w:p w14:paraId="85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 зоны по документу: Охранная зона объекта: воздушная линия электропередач ВЛ-10 кВ Харагунский участок, ТПС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rFonts w:ascii="Times New Roman" w:hAnsi="Times New Roman"/>
          <w:sz w:val="24"/>
        </w:rPr>
        <w:t>Харагун</w:t>
      </w:r>
      <w:r>
        <w:rPr>
          <w:rFonts w:ascii="Cambria Math" w:hAnsi="Cambria Math"/>
          <w:sz w:val="24"/>
        </w:rPr>
        <w:t>≫</w:t>
      </w:r>
      <w:r>
        <w:rPr>
          <w:rFonts w:ascii="Times New Roman" w:hAnsi="Times New Roman"/>
          <w:sz w:val="24"/>
        </w:rPr>
        <w:t xml:space="preserve"> 220/27, 35/10 кВ, ТП 101, ТП 101А, ТП 102, ТП 103, ТП 105, ТП 106, ТП 107, ТП 108, ТП 109; Тип зоны: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Охранная зона объектов электроэнергетики (объектов электросетевого хозяйства и объектов по производству электрической</w:t>
      </w:r>
      <w:r>
        <w:rPr>
          <w:rFonts w:ascii="Times New Roman" w:hAnsi="Times New Roman"/>
          <w:sz w:val="24"/>
        </w:rPr>
        <w:t xml:space="preserve"> энергии)</w:t>
      </w:r>
      <w:r>
        <w:rPr>
          <w:rFonts w:ascii="Times New Roman" w:hAnsi="Times New Roman"/>
          <w:sz w:val="24"/>
        </w:rPr>
        <w:t>.</w:t>
      </w:r>
    </w:p>
    <w:p w14:paraId="86000000">
      <w:pPr>
        <w:pStyle w:val="Style_6"/>
        <w:widowControl w:val="1"/>
        <w:tabs>
          <w:tab w:leader="none" w:pos="567" w:val="left"/>
        </w:tabs>
        <w:ind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Принадлежность земельного участка к территориальной зоне.</w:t>
      </w:r>
    </w:p>
    <w:p w14:paraId="87000000">
      <w:pPr>
        <w:pStyle w:val="Style_6"/>
        <w:widowControl w:val="1"/>
        <w:tabs>
          <w:tab w:leader="none" w:pos="567" w:val="left"/>
        </w:tabs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Согласно градостроительному плану земельного участка № </w:t>
      </w:r>
      <w:r>
        <w:rPr>
          <w:rFonts w:ascii="Times New Roman" w:hAnsi="Times New Roman"/>
          <w:color w:val="000000"/>
          <w:sz w:val="24"/>
        </w:rPr>
        <w:t>РФ-92-7-22-0-00-2026-0002 от 28.04.2026: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Земельный участок расположен в территориальной зоне П1-4 (зона производственной и коммунально-складской инфраструктуры)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Градостроительный план земельного участка - приложение № 4 к извещению о проведении электронного аукциона.</w:t>
      </w:r>
    </w:p>
    <w:p w14:paraId="88000000">
      <w:pPr>
        <w:pStyle w:val="Style_6"/>
        <w:widowControl w:val="1"/>
        <w:tabs>
          <w:tab w:leader="none" w:pos="567" w:val="left"/>
        </w:tabs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Максимально и (или) минимально допустимые параметры разрешенного строительства объекта капитального строительства</w:t>
      </w:r>
      <w:r>
        <w:rPr>
          <w:rFonts w:ascii="Times New Roman" w:hAnsi="Times New Roman"/>
          <w:color w:val="000000"/>
          <w:sz w:val="24"/>
        </w:rPr>
        <w:t xml:space="preserve"> – не </w:t>
      </w:r>
      <w:r>
        <w:rPr>
          <w:rFonts w:ascii="Times New Roman" w:hAnsi="Times New Roman"/>
          <w:color w:val="000000"/>
          <w:sz w:val="24"/>
        </w:rPr>
        <w:t>установлены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градостроительн</w:t>
      </w:r>
      <w:r>
        <w:rPr>
          <w:rFonts w:ascii="Times New Roman" w:hAnsi="Times New Roman"/>
          <w:color w:val="000000"/>
          <w:sz w:val="24"/>
        </w:rPr>
        <w:t>ы</w:t>
      </w:r>
      <w:r>
        <w:rPr>
          <w:rFonts w:ascii="Times New Roman" w:hAnsi="Times New Roman"/>
          <w:color w:val="000000"/>
          <w:sz w:val="24"/>
        </w:rPr>
        <w:t>м план</w:t>
      </w:r>
      <w:r>
        <w:rPr>
          <w:rFonts w:ascii="Times New Roman" w:hAnsi="Times New Roman"/>
          <w:color w:val="000000"/>
          <w:sz w:val="24"/>
        </w:rPr>
        <w:t>ом</w:t>
      </w:r>
      <w:r>
        <w:rPr>
          <w:rFonts w:ascii="Times New Roman" w:hAnsi="Times New Roman"/>
          <w:color w:val="000000"/>
          <w:sz w:val="24"/>
        </w:rPr>
        <w:t xml:space="preserve"> земельного участка</w:t>
      </w:r>
      <w:r>
        <w:rPr>
          <w:rFonts w:ascii="Times New Roman" w:hAnsi="Times New Roman"/>
          <w:color w:val="000000"/>
          <w:sz w:val="24"/>
        </w:rPr>
        <w:t>.</w:t>
      </w:r>
    </w:p>
    <w:p w14:paraId="89000000">
      <w:pPr>
        <w:pStyle w:val="Style_6"/>
        <w:widowControl w:val="1"/>
        <w:tabs>
          <w:tab w:leader="none" w:pos="567" w:val="left"/>
        </w:tabs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Сведения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</w:r>
      <w:r>
        <w:rPr>
          <w:rFonts w:ascii="Times New Roman" w:hAnsi="Times New Roman"/>
          <w:b w:val="1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Отсутствует 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огласно письму Харагунской сельской администрации Хилокского муниципального округа № 79 от 23.04.2026</w:t>
      </w:r>
      <w:r>
        <w:rPr>
          <w:rFonts w:ascii="Times New Roman" w:hAnsi="Times New Roman"/>
          <w:color w:val="000000"/>
          <w:sz w:val="24"/>
        </w:rPr>
        <w:t xml:space="preserve"> (приложение № 5 к извещению о проведении электронного аукциона)</w:t>
      </w:r>
      <w:r>
        <w:rPr>
          <w:rFonts w:ascii="Times New Roman" w:hAnsi="Times New Roman"/>
          <w:color w:val="000000"/>
          <w:sz w:val="24"/>
        </w:rPr>
        <w:t>:  вблизи земельного участка  отсутствуют инженерно-техническое обеспечение, сеть газоснабжения, централизованное водоснабжение, водоотведение, централизованное теплоснабжение; в сельской администрации имеется водовозка ЗИЛ-130 для подвоза воды для технических нужд населения</w:t>
      </w:r>
      <w:r>
        <w:rPr>
          <w:rFonts w:ascii="Times New Roman" w:hAnsi="Times New Roman"/>
          <w:color w:val="000000"/>
          <w:sz w:val="24"/>
        </w:rPr>
        <w:t>;</w:t>
      </w:r>
      <w:r>
        <w:rPr>
          <w:rFonts w:ascii="Times New Roman" w:hAnsi="Times New Roman"/>
          <w:color w:val="000000"/>
          <w:sz w:val="24"/>
        </w:rPr>
        <w:t xml:space="preserve"> тарифы на подвоз воды разрабатываются Администрацией Хилокского муниципального округа.  </w:t>
      </w:r>
    </w:p>
    <w:p w14:paraId="8A000000">
      <w:pPr>
        <w:pStyle w:val="Style_4"/>
        <w:widowControl w:val="1"/>
        <w:ind/>
        <w:outlineLvl w:val="0"/>
        <w:rPr>
          <w:b w:val="1"/>
        </w:rPr>
      </w:pPr>
      <w:r>
        <w:rPr>
          <w:b w:val="1"/>
        </w:rPr>
        <w:t>Начальная цена предмета аукциона</w:t>
      </w:r>
      <w:r>
        <w:rPr>
          <w:b w:val="1"/>
        </w:rPr>
        <w:t>:</w:t>
      </w:r>
    </w:p>
    <w:p w14:paraId="8B000000">
      <w:pPr>
        <w:pStyle w:val="Style_4"/>
        <w:widowControl w:val="1"/>
        <w:ind/>
        <w:outlineLvl w:val="0"/>
        <w:rPr>
          <w:color w:val="000000"/>
        </w:rPr>
      </w:pPr>
      <w:r>
        <w:rPr>
          <w:color w:val="000000"/>
        </w:rPr>
        <w:t>Н</w:t>
      </w:r>
      <w:r>
        <w:rPr>
          <w:color w:val="000000"/>
        </w:rPr>
        <w:t>ачальн</w:t>
      </w:r>
      <w:r>
        <w:rPr>
          <w:color w:val="000000"/>
        </w:rPr>
        <w:t>ая</w:t>
      </w:r>
      <w:r>
        <w:rPr>
          <w:color w:val="000000"/>
        </w:rPr>
        <w:t xml:space="preserve"> цен</w:t>
      </w:r>
      <w:r>
        <w:rPr>
          <w:color w:val="000000"/>
        </w:rPr>
        <w:t>а</w:t>
      </w:r>
      <w:r>
        <w:rPr>
          <w:color w:val="000000"/>
        </w:rPr>
        <w:t xml:space="preserve"> предмета аукциона (начальный размер ежегодной арендной платы) </w:t>
      </w:r>
      <w:r>
        <w:rPr>
          <w:color w:val="000000"/>
        </w:rPr>
        <w:t>-</w:t>
      </w:r>
      <w:r>
        <w:rPr>
          <w:color w:val="000000"/>
        </w:rPr>
        <w:t xml:space="preserve"> 1292463,90 руб. (Один миллион двести девяносто две тысячи четыреста шестьдесят три рубля 90 копеек).</w:t>
      </w:r>
    </w:p>
    <w:p w14:paraId="8C000000">
      <w:pPr>
        <w:pStyle w:val="Style_3"/>
        <w:widowControl w:val="1"/>
        <w:spacing w:after="0"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</w:t>
      </w:r>
      <w:r>
        <w:rPr>
          <w:rFonts w:ascii="Times New Roman" w:hAnsi="Times New Roman"/>
          <w:color w:val="000000"/>
          <w:sz w:val="24"/>
        </w:rPr>
        <w:t>ачальн</w:t>
      </w:r>
      <w:r>
        <w:rPr>
          <w:rFonts w:ascii="Times New Roman" w:hAnsi="Times New Roman"/>
          <w:color w:val="000000"/>
          <w:sz w:val="24"/>
        </w:rPr>
        <w:t>ая</w:t>
      </w:r>
      <w:r>
        <w:rPr>
          <w:rFonts w:ascii="Times New Roman" w:hAnsi="Times New Roman"/>
          <w:color w:val="000000"/>
          <w:sz w:val="24"/>
        </w:rPr>
        <w:t xml:space="preserve"> цен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предмета аукциона (начальный размер ежегодной арендной платы) </w:t>
      </w:r>
      <w:r>
        <w:rPr>
          <w:rFonts w:ascii="Times New Roman" w:hAnsi="Times New Roman"/>
          <w:color w:val="000000"/>
          <w:sz w:val="24"/>
        </w:rPr>
        <w:t>установлена в</w:t>
      </w:r>
      <w:r>
        <w:rPr>
          <w:rFonts w:ascii="Times New Roman" w:hAnsi="Times New Roman"/>
          <w:color w:val="000000"/>
          <w:sz w:val="24"/>
        </w:rPr>
        <w:t xml:space="preserve"> размере 20 процентов кадастров</w:t>
      </w:r>
      <w:r>
        <w:rPr>
          <w:rFonts w:ascii="Times New Roman" w:hAnsi="Times New Roman"/>
          <w:color w:val="000000"/>
          <w:sz w:val="24"/>
        </w:rPr>
        <w:t>ой стоимости земельного участка н</w:t>
      </w:r>
      <w:r>
        <w:rPr>
          <w:rFonts w:ascii="Times New Roman" w:hAnsi="Times New Roman"/>
          <w:color w:val="000000"/>
          <w:sz w:val="24"/>
        </w:rPr>
        <w:t>а основании пункта 14 статьи 39.11 Земельно</w:t>
      </w:r>
      <w:r>
        <w:rPr>
          <w:rFonts w:ascii="Times New Roman" w:hAnsi="Times New Roman"/>
          <w:color w:val="000000"/>
          <w:sz w:val="24"/>
        </w:rPr>
        <w:t>го кодекса Российской Федерации.</w:t>
      </w:r>
    </w:p>
    <w:p w14:paraId="8D000000">
      <w:pPr>
        <w:pStyle w:val="Style_3"/>
        <w:widowControl w:val="1"/>
        <w:spacing w:after="0" w:before="0"/>
        <w:ind/>
        <w:rPr>
          <w:rFonts w:ascii="Times New Roman" w:hAnsi="Times New Roman"/>
          <w:color w:val="000000"/>
          <w:sz w:val="12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14:paraId="8E000000">
      <w:pPr>
        <w:pStyle w:val="Style_3"/>
        <w:widowControl w:val="1"/>
        <w:spacing w:after="0" w:before="0"/>
        <w:ind/>
        <w:rPr>
          <w:rFonts w:ascii="Times New Roman" w:hAnsi="Times New Roman"/>
          <w:color w:val="000000"/>
          <w:sz w:val="24"/>
        </w:rPr>
      </w:pPr>
      <w:r>
        <w:rPr>
          <w:b w:val="1"/>
        </w:rPr>
        <w:t xml:space="preserve"> </w:t>
      </w: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>Шаг аукциона</w:t>
      </w:r>
      <w:r>
        <w:rPr>
          <w:rFonts w:ascii="Times New Roman" w:hAnsi="Times New Roman"/>
          <w:b w:val="1"/>
          <w:sz w:val="24"/>
        </w:rPr>
        <w:t>».</w:t>
      </w:r>
      <w:r>
        <w:rPr>
          <w:b w:val="1"/>
        </w:rPr>
        <w:t xml:space="preserve">  </w:t>
      </w:r>
      <w:r>
        <w:rPr>
          <w:rFonts w:ascii="Times New Roman" w:hAnsi="Times New Roman"/>
          <w:color w:val="000000"/>
          <w:sz w:val="24"/>
        </w:rPr>
        <w:t>Величина повышения цены (шаг аукциона)</w:t>
      </w:r>
      <w:r>
        <w:rPr>
          <w:rFonts w:ascii="Times New Roman" w:hAnsi="Times New Roman"/>
          <w:color w:val="000000"/>
          <w:sz w:val="24"/>
        </w:rPr>
        <w:t xml:space="preserve">: </w:t>
      </w: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>0000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 xml:space="preserve"> руб. (</w:t>
      </w:r>
      <w:r>
        <w:rPr>
          <w:rFonts w:ascii="Times New Roman" w:hAnsi="Times New Roman"/>
          <w:color w:val="000000"/>
          <w:sz w:val="24"/>
        </w:rPr>
        <w:t xml:space="preserve">Пятьдесят </w:t>
      </w:r>
      <w:r>
        <w:rPr>
          <w:rFonts w:ascii="Times New Roman" w:hAnsi="Times New Roman"/>
          <w:color w:val="000000"/>
          <w:sz w:val="24"/>
        </w:rPr>
        <w:t>тысяч</w:t>
      </w:r>
      <w:r>
        <w:rPr>
          <w:rFonts w:ascii="Times New Roman" w:hAnsi="Times New Roman"/>
          <w:color w:val="000000"/>
          <w:sz w:val="24"/>
        </w:rPr>
        <w:t xml:space="preserve"> рублей </w:t>
      </w:r>
      <w:r>
        <w:rPr>
          <w:rFonts w:ascii="Times New Roman" w:hAnsi="Times New Roman"/>
          <w:color w:val="000000"/>
          <w:sz w:val="24"/>
        </w:rPr>
        <w:t>00</w:t>
      </w:r>
      <w:r>
        <w:rPr>
          <w:rFonts w:ascii="Times New Roman" w:hAnsi="Times New Roman"/>
          <w:color w:val="000000"/>
          <w:sz w:val="24"/>
        </w:rPr>
        <w:t xml:space="preserve"> копеек)</w:t>
      </w:r>
      <w:r>
        <w:rPr>
          <w:rFonts w:ascii="Times New Roman" w:hAnsi="Times New Roman"/>
          <w:color w:val="000000"/>
          <w:sz w:val="24"/>
        </w:rPr>
        <w:t xml:space="preserve">, что составляет 3,86858 % </w:t>
      </w:r>
      <w:r>
        <w:rPr>
          <w:rFonts w:ascii="Times New Roman" w:hAnsi="Times New Roman"/>
          <w:color w:val="000000"/>
          <w:sz w:val="24"/>
        </w:rPr>
        <w:t>начальной цены предмета аукциона.</w:t>
      </w:r>
    </w:p>
    <w:p w14:paraId="8F000000">
      <w:pPr>
        <w:pStyle w:val="Style_3"/>
        <w:widowControl w:val="1"/>
        <w:spacing w:after="0"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 проведении электронного аукциона "шаг аукциона" может быть установлен от одного до пяти процентов начальной цены предмета аукциона.</w:t>
      </w:r>
    </w:p>
    <w:p w14:paraId="90000000">
      <w:pPr>
        <w:pStyle w:val="Style_3"/>
        <w:widowControl w:val="1"/>
        <w:spacing w:after="0" w:before="0"/>
        <w:ind/>
        <w:rPr>
          <w:rFonts w:ascii="Times New Roman" w:hAnsi="Times New Roman"/>
          <w:color w:val="000000"/>
          <w:sz w:val="12"/>
        </w:rPr>
      </w:pPr>
    </w:p>
    <w:p w14:paraId="91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заявки</w:t>
      </w:r>
      <w:r>
        <w:rPr>
          <w:rFonts w:ascii="Times New Roman" w:hAnsi="Times New Roman"/>
          <w:b w:val="1"/>
          <w:sz w:val="24"/>
        </w:rPr>
        <w:t xml:space="preserve"> на участие в аукционе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Форма заявки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участие в аукционе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 приложение</w:t>
      </w:r>
      <w:r>
        <w:rPr>
          <w:rFonts w:ascii="Times New Roman" w:hAnsi="Times New Roman"/>
          <w:sz w:val="24"/>
        </w:rPr>
        <w:t xml:space="preserve"> № 1</w:t>
      </w:r>
      <w:r>
        <w:rPr>
          <w:rFonts w:ascii="Times New Roman" w:hAnsi="Times New Roman"/>
          <w:sz w:val="24"/>
        </w:rPr>
        <w:t xml:space="preserve"> к извещению</w:t>
      </w:r>
      <w:r>
        <w:rPr>
          <w:rFonts w:ascii="Times New Roman" w:hAnsi="Times New Roman"/>
          <w:sz w:val="24"/>
        </w:rPr>
        <w:t xml:space="preserve"> о проведении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>аукциона</w:t>
      </w:r>
      <w:r>
        <w:rPr>
          <w:rFonts w:ascii="Times New Roman" w:hAnsi="Times New Roman"/>
          <w:sz w:val="24"/>
        </w:rPr>
        <w:t>.</w:t>
      </w:r>
    </w:p>
    <w:p w14:paraId="92000000">
      <w:pPr>
        <w:widowControl w:val="1"/>
        <w:spacing w:before="0"/>
        <w:ind/>
        <w:rPr>
          <w:rFonts w:ascii="Times New Roman" w:hAnsi="Times New Roman"/>
          <w:sz w:val="8"/>
        </w:rPr>
      </w:pPr>
    </w:p>
    <w:p w14:paraId="93000000">
      <w:pPr>
        <w:widowControl w:val="1"/>
        <w:spacing w:before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</w:t>
      </w:r>
      <w:r>
        <w:rPr>
          <w:rFonts w:ascii="Times New Roman" w:hAnsi="Times New Roman"/>
          <w:b w:val="1"/>
          <w:sz w:val="24"/>
        </w:rPr>
        <w:t>орядок</w:t>
      </w:r>
      <w:r>
        <w:rPr>
          <w:rFonts w:ascii="Times New Roman" w:hAnsi="Times New Roman"/>
          <w:b w:val="1"/>
          <w:sz w:val="24"/>
        </w:rPr>
        <w:t xml:space="preserve"> приема заявок на участие в аукционе.</w:t>
      </w:r>
    </w:p>
    <w:p w14:paraId="9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Место подачи (приема) заявок на участие в аукционе</w:t>
      </w:r>
      <w:r>
        <w:rPr>
          <w:rFonts w:ascii="Times New Roman" w:hAnsi="Times New Roman"/>
          <w:sz w:val="24"/>
        </w:rPr>
        <w:t>: Электронная торговая площадка «Сбербанк-АСТ»</w:t>
      </w:r>
      <w:r>
        <w:rPr>
          <w:rFonts w:ascii="Times New Roman" w:hAnsi="Times New Roman"/>
          <w:sz w:val="24"/>
        </w:rPr>
        <w:t>, сайт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"https://utp.sberbank-ast.ru/"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https://utp.sberbank-ast.ru/</w:t>
      </w:r>
      <w:r>
        <w:rPr>
          <w:rFonts w:ascii="Times New Roman" w:hAnsi="Times New Roman"/>
          <w:sz w:val="24"/>
        </w:rPr>
        <w:fldChar w:fldCharType="end"/>
      </w:r>
    </w:p>
    <w:p w14:paraId="95000000">
      <w:pPr>
        <w:pStyle w:val="Style_4"/>
        <w:widowControl w:val="1"/>
        <w:spacing w:before="0"/>
        <w:ind w:firstLine="539"/>
      </w:pPr>
      <w:r>
        <w:t xml:space="preserve">Заявка на участие в электронном аукционе </w:t>
      </w:r>
      <w:r>
        <w:t>(по установленной форме – приложение № 1 к извещению</w:t>
      </w:r>
      <w:r>
        <w:t xml:space="preserve"> о проведении</w:t>
      </w:r>
      <w:r>
        <w:t xml:space="preserve"> электронного</w:t>
      </w:r>
      <w:r>
        <w:t xml:space="preserve"> аукциона</w:t>
      </w:r>
      <w:r>
        <w:t xml:space="preserve">) </w:t>
      </w:r>
      <w:r>
        <w:t xml:space="preserve">с указанием банковских реквизитов счета для возврата задатка </w:t>
      </w:r>
      <w:r>
        <w:t>направляется оператору электронной площадки в форме электронного документа</w:t>
      </w:r>
      <w:r>
        <w:t xml:space="preserve"> с приложением</w:t>
      </w:r>
      <w:r>
        <w:t xml:space="preserve"> следующих</w:t>
      </w:r>
      <w:r>
        <w:t xml:space="preserve"> документов</w:t>
      </w:r>
      <w:r>
        <w:t>:</w:t>
      </w:r>
      <w:r>
        <w:t xml:space="preserve"> </w:t>
      </w:r>
    </w:p>
    <w:p w14:paraId="96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копии всех страниц паспорта</w:t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документ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, удостоверяющ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z w:val="24"/>
        </w:rPr>
        <w:t xml:space="preserve"> личность </w:t>
      </w:r>
      <w:r>
        <w:rPr>
          <w:rFonts w:ascii="Times New Roman" w:hAnsi="Times New Roman"/>
          <w:sz w:val="24"/>
        </w:rPr>
        <w:t xml:space="preserve">заявителя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для граждан и индивидуальных предпринимателей);</w:t>
      </w:r>
    </w:p>
    <w:p w14:paraId="97000000">
      <w:pPr>
        <w:pStyle w:val="Style_4"/>
        <w:widowControl w:val="1"/>
        <w:spacing w:before="0"/>
        <w:ind/>
      </w:pPr>
      <w:bookmarkStart w:id="2" w:name="P1464"/>
      <w:bookmarkEnd w:id="2"/>
      <w:r>
        <w:t>- документы, подтверждающие внесение задатка;</w:t>
      </w:r>
    </w:p>
    <w:p w14:paraId="98000000">
      <w:pPr>
        <w:pStyle w:val="Style_4"/>
        <w:widowControl w:val="1"/>
        <w:spacing w:before="0"/>
        <w:ind/>
      </w:pPr>
      <w: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t>;</w:t>
      </w:r>
    </w:p>
    <w:p w14:paraId="99000000">
      <w:pPr>
        <w:widowControl w:val="1"/>
        <w:spacing w:before="0"/>
        <w:ind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согласие на обработку персональных данных в соответствии с Федеральным законом от 27.07.2006 № 152-ФЗ "О персональных данных"</w:t>
      </w:r>
      <w:r>
        <w:rPr>
          <w:rFonts w:ascii="Times New Roman" w:hAnsi="Times New Roman"/>
          <w:sz w:val="24"/>
        </w:rPr>
        <w:t xml:space="preserve"> (форма согласия на обработку персональных данных – приложение № 2 к извещению </w:t>
      </w:r>
      <w:r>
        <w:rPr>
          <w:rFonts w:ascii="Times New Roman" w:hAnsi="Times New Roman"/>
          <w:sz w:val="24"/>
        </w:rPr>
        <w:t>о проведении электронного аукциона)</w:t>
      </w:r>
      <w:r>
        <w:rPr>
          <w:rFonts w:ascii="Times New Roman" w:hAnsi="Times New Roman"/>
          <w:sz w:val="24"/>
        </w:rPr>
        <w:t>.</w:t>
      </w:r>
    </w:p>
    <w:p w14:paraId="9A000000">
      <w:pPr>
        <w:pStyle w:val="Style_4"/>
        <w:widowControl w:val="1"/>
        <w:ind w:firstLine="539"/>
      </w:pPr>
      <w: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9B000000">
      <w:pPr>
        <w:widowControl w:val="1"/>
        <w:spacing w:before="0"/>
        <w:ind/>
        <w:rPr>
          <w:rFonts w:ascii="Times New Roman" w:hAnsi="Times New Roman"/>
          <w:sz w:val="24"/>
        </w:rPr>
      </w:pPr>
      <w:bookmarkStart w:id="3" w:name="P1460"/>
      <w:bookmarkEnd w:id="3"/>
      <w:r>
        <w:rPr>
          <w:rFonts w:ascii="Times New Roman" w:hAnsi="Times New Roman"/>
          <w:sz w:val="24"/>
        </w:rPr>
        <w:t>Один заявитель вправе подать только одну заявку на участие в аукционе.</w:t>
      </w:r>
    </w:p>
    <w:p w14:paraId="9C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Заявка на участие в аукционе, поступившая по истечении срока приема заявок, </w:t>
      </w:r>
      <w:r>
        <w:rPr>
          <w:rFonts w:ascii="Times New Roman" w:hAnsi="Times New Roman"/>
          <w:sz w:val="24"/>
        </w:rPr>
        <w:t>не принимается оператором электронной площадки</w:t>
      </w:r>
      <w:r>
        <w:rPr>
          <w:rFonts w:ascii="Times New Roman" w:hAnsi="Times New Roman"/>
          <w:sz w:val="24"/>
        </w:rPr>
        <w:t>.</w:t>
      </w:r>
    </w:p>
    <w:p w14:paraId="9D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Заявитель имеет право отозвать принятую </w:t>
      </w:r>
      <w:r>
        <w:rPr>
          <w:rFonts w:ascii="Times New Roman" w:hAnsi="Times New Roman"/>
          <w:sz w:val="24"/>
        </w:rPr>
        <w:t>оператором электронной площадки</w:t>
      </w:r>
      <w:r>
        <w:rPr>
          <w:rFonts w:ascii="Times New Roman" w:hAnsi="Times New Roman"/>
          <w:sz w:val="24"/>
        </w:rPr>
        <w:t xml:space="preserve"> заявку на участие в аукционе </w:t>
      </w:r>
      <w:r>
        <w:rPr>
          <w:rFonts w:ascii="Times New Roman" w:hAnsi="Times New Roman"/>
          <w:sz w:val="24"/>
        </w:rPr>
        <w:t>до дня окончания срока приема заявок</w:t>
      </w:r>
      <w:r>
        <w:rPr>
          <w:rFonts w:ascii="Times New Roman" w:hAnsi="Times New Roman"/>
          <w:sz w:val="24"/>
        </w:rPr>
        <w:t xml:space="preserve">. </w:t>
      </w:r>
    </w:p>
    <w:p w14:paraId="9E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Заявитель не допускается к участию в аукционе в следующих случаях:</w:t>
      </w:r>
    </w:p>
    <w:p w14:paraId="9F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непредставление необходимых для участия в аукционе документов или представление недостоверных сведений;</w:t>
      </w:r>
    </w:p>
    <w:p w14:paraId="A0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непоступление задатка в установленный срок;</w:t>
      </w:r>
    </w:p>
    <w:p w14:paraId="A1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подача заявки на участие в аукционе лицом, которое в соответствии с Земельным Кодексом и другими федеральными законами не имеет права быть участником </w:t>
      </w:r>
      <w:r>
        <w:rPr>
          <w:rFonts w:ascii="Times New Roman" w:hAnsi="Times New Roman"/>
          <w:sz w:val="24"/>
        </w:rPr>
        <w:t xml:space="preserve">конкретного </w:t>
      </w:r>
      <w:r>
        <w:rPr>
          <w:rFonts w:ascii="Times New Roman" w:hAnsi="Times New Roman"/>
          <w:sz w:val="24"/>
        </w:rPr>
        <w:t>аукциона, приобрести земельный участок в аренду;</w:t>
      </w:r>
    </w:p>
    <w:p w14:paraId="A2000000">
      <w:pPr>
        <w:widowControl w:val="0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</w:t>
      </w:r>
      <w:r>
        <w:rPr>
          <w:rFonts w:ascii="Times New Roman" w:hAnsi="Times New Roman"/>
          <w:sz w:val="24"/>
        </w:rPr>
        <w:t xml:space="preserve"> кодекса Российской Федерации реестре недобросовестных участников аукциона.</w:t>
      </w:r>
    </w:p>
    <w:p w14:paraId="A3000000">
      <w:pPr>
        <w:rPr>
          <w:rFonts w:ascii="Times New Roman" w:hAnsi="Times New Roman"/>
          <w:sz w:val="12"/>
        </w:rPr>
      </w:pPr>
    </w:p>
    <w:p w14:paraId="A4000000">
      <w:pPr>
        <w:widowControl w:val="1"/>
        <w:spacing w:before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Дата и время начала и окончания приема заявок на участие в аукционе.</w:t>
      </w:r>
    </w:p>
    <w:p w14:paraId="A5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и время начала приема заявок на участие в аукционе</w:t>
      </w:r>
      <w:r>
        <w:rPr>
          <w:rFonts w:ascii="Times New Roman" w:hAnsi="Times New Roman"/>
          <w:sz w:val="24"/>
        </w:rPr>
        <w:t xml:space="preserve">: 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июн</w:t>
      </w:r>
      <w:r>
        <w:rPr>
          <w:rFonts w:ascii="Times New Roman" w:hAnsi="Times New Roman"/>
          <w:sz w:val="24"/>
        </w:rPr>
        <w:t>я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года, </w:t>
      </w:r>
      <w:r>
        <w:rPr>
          <w:rFonts w:ascii="Times New Roman" w:hAnsi="Times New Roman"/>
          <w:sz w:val="24"/>
        </w:rPr>
        <w:t>в 13:00 по московскому времени (в 19:00 по читинскому времени).</w:t>
      </w:r>
    </w:p>
    <w:p w14:paraId="A6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Подача Заявок осуществляется круглосуточно.</w:t>
      </w:r>
    </w:p>
    <w:p w14:paraId="A7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и время </w:t>
      </w:r>
      <w:r>
        <w:rPr>
          <w:rFonts w:ascii="Times New Roman" w:hAnsi="Times New Roman"/>
          <w:sz w:val="24"/>
        </w:rPr>
        <w:t>окончания</w:t>
      </w:r>
      <w:r>
        <w:rPr>
          <w:rFonts w:ascii="Times New Roman" w:hAnsi="Times New Roman"/>
          <w:sz w:val="24"/>
        </w:rPr>
        <w:t xml:space="preserve"> приема заявок на участие в аукционе</w:t>
      </w:r>
      <w:r>
        <w:rPr>
          <w:rFonts w:ascii="Times New Roman" w:hAnsi="Times New Roman"/>
          <w:sz w:val="24"/>
        </w:rPr>
        <w:t xml:space="preserve">: 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июл</w:t>
      </w:r>
      <w:r>
        <w:rPr>
          <w:rFonts w:ascii="Times New Roman" w:hAnsi="Times New Roman"/>
          <w:sz w:val="24"/>
        </w:rPr>
        <w:t>я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года, </w:t>
      </w:r>
      <w:r>
        <w:rPr>
          <w:rFonts w:ascii="Times New Roman" w:hAnsi="Times New Roman"/>
          <w:sz w:val="24"/>
        </w:rPr>
        <w:t>в 12:00 по московскому времени (в 18:00 по читинскому времени).</w:t>
      </w:r>
    </w:p>
    <w:p w14:paraId="A8000000">
      <w:pPr>
        <w:widowControl w:val="1"/>
        <w:spacing w:before="0"/>
        <w:ind/>
        <w:rPr>
          <w:rFonts w:ascii="Times New Roman" w:hAnsi="Times New Roman"/>
          <w:sz w:val="12"/>
        </w:rPr>
      </w:pPr>
    </w:p>
    <w:p w14:paraId="A9000000">
      <w:pPr>
        <w:pStyle w:val="Style_4"/>
        <w:widowControl w:val="1"/>
        <w:ind/>
        <w:outlineLvl w:val="0"/>
        <w:rPr>
          <w:b w:val="1"/>
        </w:rPr>
      </w:pPr>
      <w:r>
        <w:rPr>
          <w:b w:val="1"/>
        </w:rPr>
        <w:t>Размер задатка, п</w:t>
      </w:r>
      <w:r>
        <w:rPr>
          <w:b w:val="1"/>
        </w:rPr>
        <w:t>орядок внесения</w:t>
      </w:r>
      <w:r>
        <w:rPr>
          <w:b w:val="1"/>
        </w:rPr>
        <w:t xml:space="preserve"> задатка</w:t>
      </w:r>
      <w:r>
        <w:rPr>
          <w:b w:val="1"/>
        </w:rPr>
        <w:t>,</w:t>
      </w:r>
      <w:r>
        <w:rPr>
          <w:b w:val="1"/>
        </w:rPr>
        <w:t xml:space="preserve"> банковские рек</w:t>
      </w:r>
      <w:r>
        <w:rPr>
          <w:b w:val="1"/>
        </w:rPr>
        <w:t>визиты для перечисления задатка</w:t>
      </w:r>
      <w:r>
        <w:rPr>
          <w:b w:val="1"/>
        </w:rPr>
        <w:t>:</w:t>
      </w:r>
    </w:p>
    <w:p w14:paraId="AA000000">
      <w:pPr>
        <w:pStyle w:val="Style_4"/>
        <w:widowControl w:val="1"/>
        <w:spacing w:before="0"/>
        <w:ind/>
        <w:outlineLvl w:val="0"/>
        <w:rPr>
          <w:color w:val="000000"/>
        </w:rPr>
      </w:pPr>
      <w:r>
        <w:t xml:space="preserve">Размер задатка для участия в аукционе: </w:t>
      </w:r>
      <w:r>
        <w:rPr>
          <w:color w:val="000000"/>
        </w:rPr>
        <w:t>129246</w:t>
      </w:r>
      <w:r>
        <w:rPr>
          <w:color w:val="000000"/>
        </w:rPr>
        <w:t>,</w:t>
      </w:r>
      <w:r>
        <w:rPr>
          <w:color w:val="000000"/>
        </w:rPr>
        <w:t>39 руб. (</w:t>
      </w:r>
      <w:r>
        <w:rPr>
          <w:color w:val="000000"/>
        </w:rPr>
        <w:t>Сто двадцать девять</w:t>
      </w:r>
      <w:r>
        <w:rPr>
          <w:color w:val="000000"/>
        </w:rPr>
        <w:t xml:space="preserve"> тысяч </w:t>
      </w:r>
      <w:r>
        <w:rPr>
          <w:color w:val="000000"/>
        </w:rPr>
        <w:t>двести сорок шесть</w:t>
      </w:r>
      <w:r>
        <w:rPr>
          <w:color w:val="000000"/>
        </w:rPr>
        <w:t xml:space="preserve"> рубл</w:t>
      </w:r>
      <w:r>
        <w:rPr>
          <w:color w:val="000000"/>
        </w:rPr>
        <w:t>ей</w:t>
      </w:r>
      <w:r>
        <w:rPr>
          <w:color w:val="000000"/>
        </w:rPr>
        <w:t xml:space="preserve"> </w:t>
      </w:r>
      <w:r>
        <w:rPr>
          <w:color w:val="000000"/>
        </w:rPr>
        <w:t>39</w:t>
      </w:r>
      <w:r>
        <w:rPr>
          <w:color w:val="000000"/>
        </w:rPr>
        <w:t xml:space="preserve"> копеек).</w:t>
      </w:r>
    </w:p>
    <w:p w14:paraId="AB000000">
      <w:pPr>
        <w:widowControl w:val="1"/>
        <w:tabs>
          <w:tab w:leader="none" w:pos="567" w:val="left"/>
          <w:tab w:leader="none" w:pos="709" w:val="left"/>
        </w:tabs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задатка</w:t>
      </w:r>
      <w:r>
        <w:rPr>
          <w:rFonts w:ascii="Times New Roman" w:hAnsi="Times New Roman"/>
          <w:sz w:val="24"/>
        </w:rPr>
        <w:t xml:space="preserve"> составляет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 % от </w:t>
      </w:r>
      <w:r>
        <w:rPr>
          <w:rFonts w:ascii="Times New Roman" w:hAnsi="Times New Roman"/>
          <w:sz w:val="24"/>
        </w:rPr>
        <w:t>начальной цен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предмета аукциона.</w:t>
      </w:r>
    </w:p>
    <w:p w14:paraId="AC000000">
      <w:pPr>
        <w:pStyle w:val="Style_4"/>
        <w:widowControl w:val="1"/>
        <w:spacing w:before="0"/>
        <w:ind/>
        <w:outlineLvl w:val="0"/>
      </w:pPr>
      <w:r>
        <w:rPr>
          <w:color w:val="000000"/>
        </w:rPr>
        <w:t xml:space="preserve">Задаток перечисляется </w:t>
      </w:r>
      <w:r>
        <w:t>на счёт Оператора электронной площадки.</w:t>
      </w:r>
    </w:p>
    <w:p w14:paraId="AD000000">
      <w:pPr>
        <w:pStyle w:val="Style_3"/>
        <w:widowControl w:val="1"/>
        <w:spacing w:after="0"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Задаток должен поступить на счёт Оператора электронной площадки не позднее даты и времени окончания подачи (приёма) заявок на участие в аукционе: не позднее 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 xml:space="preserve">:00 по московскому времени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июл</w:t>
      </w:r>
      <w:r>
        <w:rPr>
          <w:rFonts w:ascii="Times New Roman" w:hAnsi="Times New Roman"/>
          <w:sz w:val="24"/>
        </w:rPr>
        <w:t>я 2026 года.</w:t>
      </w:r>
    </w:p>
    <w:p w14:paraId="AE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 счёта для перечисления задатка:</w:t>
      </w:r>
    </w:p>
    <w:p w14:paraId="AF000000">
      <w:pPr>
        <w:widowControl w:val="1"/>
        <w:tabs>
          <w:tab w:leader="none" w:pos="0" w:val="left"/>
        </w:tabs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Получатель: АО «Сбербанк-АСТ»</w:t>
      </w:r>
    </w:p>
    <w:p w14:paraId="B0000000">
      <w:pPr>
        <w:widowControl w:val="1"/>
        <w:tabs>
          <w:tab w:leader="none" w:pos="0" w:val="left"/>
        </w:tabs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7707308480</w:t>
      </w:r>
    </w:p>
    <w:p w14:paraId="B1000000">
      <w:pPr>
        <w:widowControl w:val="1"/>
        <w:tabs>
          <w:tab w:leader="none" w:pos="0" w:val="left"/>
        </w:tabs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КПП 770401001</w:t>
      </w:r>
    </w:p>
    <w:p w14:paraId="B2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расчетный счет 40702810300020038047    </w:t>
      </w:r>
    </w:p>
    <w:p w14:paraId="B3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Банк: ПАО Сбербанк г. Москва</w:t>
      </w:r>
    </w:p>
    <w:p w14:paraId="B4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БИК 04452522</w:t>
      </w:r>
    </w:p>
    <w:p w14:paraId="B5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корр.счет 30101810400000000225</w:t>
      </w:r>
    </w:p>
    <w:p w14:paraId="B6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Назначение платежа: Задаток (ИНН плательщика __). Без НДС</w:t>
      </w:r>
    </w:p>
    <w:p w14:paraId="B7000000">
      <w:pPr>
        <w:pStyle w:val="Style_4"/>
        <w:widowControl w:val="1"/>
        <w:ind/>
        <w:outlineLvl w:val="0"/>
        <w:rPr>
          <w:color w:val="000000"/>
          <w:sz w:val="8"/>
        </w:rPr>
      </w:pPr>
    </w:p>
    <w:p w14:paraId="B8000000">
      <w:pPr>
        <w:pStyle w:val="Style_4"/>
        <w:widowControl w:val="1"/>
        <w:spacing w:before="0"/>
        <w:ind/>
        <w:outlineLvl w:val="0"/>
        <w:rPr>
          <w:color w:val="000000"/>
        </w:rPr>
      </w:pPr>
      <w:r>
        <w:rPr>
          <w:b w:val="1"/>
        </w:rPr>
        <w:t>Порядок</w:t>
      </w:r>
      <w:r>
        <w:rPr>
          <w:b w:val="1"/>
        </w:rPr>
        <w:t xml:space="preserve"> возврата задатка</w:t>
      </w:r>
      <w:r>
        <w:rPr>
          <w:b w:val="1"/>
        </w:rPr>
        <w:t>:</w:t>
      </w:r>
    </w:p>
    <w:p w14:paraId="B9000000">
      <w:pPr>
        <w:pStyle w:val="Style_4"/>
        <w:widowControl w:val="1"/>
        <w:spacing w:before="0"/>
        <w:ind/>
        <w:outlineLvl w:val="0"/>
      </w:pPr>
      <w:r>
        <w:rPr>
          <w:color w:val="000000"/>
        </w:rPr>
        <w:t>Возврат задатков осуществляется</w:t>
      </w:r>
      <w:r>
        <w:t xml:space="preserve"> Оператор</w:t>
      </w:r>
      <w:r>
        <w:t>ом</w:t>
      </w:r>
      <w:r>
        <w:t xml:space="preserve"> электронной площадки</w:t>
      </w:r>
      <w:r>
        <w:t xml:space="preserve"> (в случае если задаток подлежит возврату)</w:t>
      </w:r>
      <w:r>
        <w:t>.</w:t>
      </w:r>
    </w:p>
    <w:p w14:paraId="BA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Задаток возвращается участнику аукциона (заявителю) в следующих случаях:</w:t>
      </w:r>
    </w:p>
    <w:p w14:paraId="BB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участникам аукциона (заявителям) при принятии организатором аукциона решения об отказе в проведении аукциона - в течение трех рабочих дней со дня принятия решения об отказе в проведении аукциона;</w:t>
      </w:r>
    </w:p>
    <w:p w14:paraId="BC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заявителю в случае отзыва им заявки на участие в аукционе до дня окончания срока приема заявок - в течение трех рабочих дней со дня поступления уведомления об отзыве заявки;</w:t>
      </w:r>
    </w:p>
    <w:p w14:paraId="BD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 xml:space="preserve">заявителю, не допущенному к участию в аукционе - в течение трех рабочих дней со дня оформления протокола </w:t>
      </w:r>
      <w:r>
        <w:rPr>
          <w:rFonts w:ascii="Times New Roman" w:hAnsi="Times New Roman"/>
          <w:color w:val="000000"/>
          <w:sz w:val="24"/>
        </w:rPr>
        <w:t>рассмотрения</w:t>
      </w:r>
      <w:r>
        <w:rPr>
          <w:rFonts w:ascii="Times New Roman" w:hAnsi="Times New Roman"/>
          <w:color w:val="000000"/>
          <w:sz w:val="24"/>
        </w:rPr>
        <w:t xml:space="preserve"> заявок на участие в аукционе;</w:t>
      </w:r>
    </w:p>
    <w:p w14:paraId="BE000000">
      <w:pPr>
        <w:widowControl w:val="1"/>
        <w:tabs>
          <w:tab w:leader="none" w:pos="567" w:val="left"/>
        </w:tabs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участникам аукциона, не</w:t>
      </w:r>
      <w:r>
        <w:rPr>
          <w:rFonts w:ascii="Times New Roman" w:hAnsi="Times New Roman"/>
          <w:color w:val="000000"/>
          <w:sz w:val="24"/>
        </w:rPr>
        <w:t xml:space="preserve"> являющихся </w:t>
      </w:r>
      <w:r>
        <w:rPr>
          <w:rFonts w:ascii="Times New Roman" w:hAnsi="Times New Roman"/>
          <w:color w:val="000000"/>
          <w:sz w:val="24"/>
        </w:rPr>
        <w:t>победи</w:t>
      </w:r>
      <w:r>
        <w:rPr>
          <w:rFonts w:ascii="Times New Roman" w:hAnsi="Times New Roman"/>
          <w:color w:val="000000"/>
          <w:sz w:val="24"/>
        </w:rPr>
        <w:t>телем аукциона (за исключением участника аукциона, который сделал предпоследнее предложение о цене предмета аукциона)</w:t>
      </w:r>
      <w:r>
        <w:rPr>
          <w:rFonts w:ascii="Times New Roman" w:hAnsi="Times New Roman"/>
          <w:color w:val="000000"/>
          <w:sz w:val="24"/>
        </w:rPr>
        <w:t xml:space="preserve">  - в течение трех рабочих дней со дня подписания протокола о результатах аукциона</w:t>
      </w:r>
      <w:r>
        <w:rPr>
          <w:rFonts w:ascii="Times New Roman" w:hAnsi="Times New Roman"/>
          <w:color w:val="000000"/>
          <w:sz w:val="24"/>
        </w:rPr>
        <w:t>;</w:t>
      </w:r>
    </w:p>
    <w:p w14:paraId="BF000000">
      <w:pPr>
        <w:widowControl w:val="1"/>
        <w:tabs>
          <w:tab w:leader="none" w:pos="567" w:val="left"/>
        </w:tabs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заявителю в случае отзыва им заявки на участие в аукционе позднее дня окончания срока приема заявок - в течение трех рабочих дней со дня подписания протокола о результатах аукциона</w:t>
      </w:r>
      <w:r>
        <w:rPr>
          <w:rFonts w:ascii="Times New Roman" w:hAnsi="Times New Roman"/>
          <w:color w:val="000000"/>
          <w:sz w:val="24"/>
        </w:rPr>
        <w:t>;</w:t>
      </w:r>
    </w:p>
    <w:p w14:paraId="C0000000">
      <w:pPr>
        <w:widowControl w:val="1"/>
        <w:tabs>
          <w:tab w:leader="none" w:pos="567" w:val="left"/>
        </w:tabs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участнику аукциона, который сделал предпоследнее предложение о цене предмета аукциона</w:t>
      </w:r>
      <w:r>
        <w:rPr>
          <w:rFonts w:ascii="Times New Roman" w:hAnsi="Times New Roman"/>
          <w:color w:val="000000"/>
          <w:sz w:val="24"/>
        </w:rPr>
        <w:t xml:space="preserve"> - в течение трех дней со дня подписания </w:t>
      </w:r>
      <w:r>
        <w:rPr>
          <w:rFonts w:ascii="Times New Roman" w:hAnsi="Times New Roman"/>
          <w:color w:val="000000"/>
          <w:sz w:val="24"/>
        </w:rPr>
        <w:t>договора аренды земельного участка победителем аукциона.</w:t>
      </w:r>
    </w:p>
    <w:p w14:paraId="C1000000">
      <w:pPr>
        <w:widowControl w:val="1"/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Задаток, внесенный лицом, признанным победителем аукциона, а также задаток, внесенный иным лицом, с которым </w:t>
      </w:r>
      <w:r>
        <w:rPr>
          <w:rFonts w:ascii="Times New Roman" w:hAnsi="Times New Roman"/>
          <w:color w:val="000000"/>
          <w:sz w:val="24"/>
        </w:rPr>
        <w:t xml:space="preserve">заключается </w:t>
      </w:r>
      <w:r>
        <w:rPr>
          <w:rFonts w:ascii="Times New Roman" w:hAnsi="Times New Roman"/>
          <w:color w:val="000000"/>
          <w:sz w:val="24"/>
        </w:rPr>
        <w:t xml:space="preserve">договор аренды земельного участка в соответствии </w:t>
      </w:r>
      <w:r>
        <w:rPr>
          <w:rFonts w:ascii="Times New Roman" w:hAnsi="Times New Roman"/>
          <w:color w:val="000000"/>
          <w:sz w:val="24"/>
        </w:rPr>
        <w:t>с пунктом 13, 14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20 </w:t>
      </w:r>
      <w:r>
        <w:rPr>
          <w:rFonts w:ascii="Times New Roman" w:hAnsi="Times New Roman"/>
          <w:color w:val="000000"/>
          <w:sz w:val="24"/>
        </w:rPr>
        <w:t>или 2</w:t>
      </w: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 xml:space="preserve"> статьи 39.12</w:t>
      </w:r>
      <w:r>
        <w:rPr>
          <w:rFonts w:ascii="Times New Roman" w:hAnsi="Times New Roman"/>
          <w:color w:val="000000"/>
          <w:sz w:val="24"/>
        </w:rPr>
        <w:t xml:space="preserve"> Земельного кодекса Российской Федерации, засчитывается в счет арендной платы за земельный участок. </w:t>
      </w:r>
    </w:p>
    <w:p w14:paraId="C2000000">
      <w:pPr>
        <w:widowControl w:val="1"/>
        <w:tabs>
          <w:tab w:leader="none" w:pos="567" w:val="left"/>
          <w:tab w:leader="none" w:pos="709" w:val="left"/>
        </w:tabs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Задатки, внесенные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14:paraId="C3000000">
      <w:pPr>
        <w:widowControl w:val="1"/>
        <w:tabs>
          <w:tab w:leader="none" w:pos="9356" w:val="left"/>
        </w:tabs>
        <w:spacing w:before="0"/>
        <w:ind/>
        <w:rPr>
          <w:rFonts w:ascii="Times New Roman" w:hAnsi="Times New Roman"/>
          <w:color w:val="000000"/>
          <w:sz w:val="12"/>
        </w:rPr>
      </w:pPr>
    </w:p>
    <w:p w14:paraId="C4000000">
      <w:pPr>
        <w:widowControl w:val="1"/>
        <w:tabs>
          <w:tab w:leader="none" w:pos="9356" w:val="left"/>
        </w:tabs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Срок аренды земельного участка</w:t>
      </w:r>
      <w:r>
        <w:rPr>
          <w:rFonts w:ascii="Times New Roman" w:hAnsi="Times New Roman"/>
          <w:color w:val="000000"/>
          <w:sz w:val="24"/>
        </w:rPr>
        <w:t xml:space="preserve"> – 10 (Десять) лет.</w:t>
      </w:r>
    </w:p>
    <w:p w14:paraId="C5000000">
      <w:pPr>
        <w:widowControl w:val="1"/>
        <w:tabs>
          <w:tab w:leader="none" w:pos="9356" w:val="left"/>
        </w:tabs>
        <w:spacing w:before="0"/>
        <w:ind/>
        <w:rPr>
          <w:rFonts w:ascii="Times New Roman" w:hAnsi="Times New Roman"/>
          <w:color w:val="000000"/>
          <w:sz w:val="12"/>
        </w:rPr>
      </w:pPr>
    </w:p>
    <w:p w14:paraId="C6000000">
      <w:pPr>
        <w:pStyle w:val="Style_6"/>
        <w:widowControl w:val="1"/>
        <w:tabs>
          <w:tab w:leader="none" w:pos="709" w:val="left"/>
        </w:tabs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Информация о наличии (отсутствии) льгот по арендной плате.</w:t>
      </w:r>
      <w:r>
        <w:rPr>
          <w:rFonts w:ascii="Times New Roman" w:hAnsi="Times New Roman"/>
          <w:color w:val="000000"/>
          <w:sz w:val="24"/>
        </w:rPr>
        <w:t xml:space="preserve"> Льготы по арендной плате не предусмотрены. </w:t>
      </w:r>
    </w:p>
    <w:p w14:paraId="C7000000">
      <w:pPr>
        <w:pStyle w:val="Style_6"/>
        <w:widowControl w:val="1"/>
        <w:tabs>
          <w:tab w:leader="none" w:pos="709" w:val="left"/>
        </w:tabs>
        <w:spacing w:before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</w:t>
      </w:r>
      <w:r>
        <w:rPr>
          <w:rFonts w:ascii="Times New Roman" w:hAnsi="Times New Roman"/>
          <w:color w:val="000000"/>
          <w:sz w:val="24"/>
        </w:rPr>
        <w:t xml:space="preserve">емельный участок не включен в перечень государственного имущества, </w:t>
      </w:r>
      <w:r>
        <w:rPr>
          <w:rFonts w:ascii="Times New Roman" w:hAnsi="Times New Roman"/>
          <w:sz w:val="24"/>
        </w:rPr>
        <w:t>предусмотренный 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"consultantplus://offline/ref=9559E8903C4F41FE4779996625DA8D290131756C90B40E523FA05AF59E258338BB4307DB2F2C91ECE0F3F0C57AF1FB91F04DF516947581C9K6V8H"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частью 4 статьи 18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 Федерального закона от 24.07.2007 № 209-ФЗ «О </w:t>
      </w:r>
      <w:r>
        <w:rPr>
          <w:rFonts w:ascii="Times New Roman" w:hAnsi="Times New Roman"/>
          <w:color w:val="000000"/>
          <w:sz w:val="24"/>
        </w:rPr>
        <w:t>развитии малого и среднего предпринимательства в Российской Федерации» - льготы не установлены.</w:t>
      </w:r>
    </w:p>
    <w:p w14:paraId="C8000000">
      <w:pPr>
        <w:pStyle w:val="Style_6"/>
        <w:widowControl w:val="1"/>
        <w:tabs>
          <w:tab w:leader="none" w:pos="709" w:val="left"/>
        </w:tabs>
        <w:spacing w:before="0"/>
        <w:ind/>
        <w:rPr>
          <w:rFonts w:ascii="Times New Roman" w:hAnsi="Times New Roman"/>
          <w:color w:val="000000"/>
          <w:sz w:val="12"/>
        </w:rPr>
      </w:pPr>
    </w:p>
    <w:p w14:paraId="C9000000">
      <w:pPr>
        <w:pStyle w:val="Style_6"/>
        <w:widowControl w:val="1"/>
        <w:tabs>
          <w:tab w:leader="none" w:pos="709" w:val="left"/>
        </w:tabs>
        <w:ind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Рассмотрение заявок на участие в аукционе</w:t>
      </w:r>
    </w:p>
    <w:p w14:paraId="CA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</w:t>
      </w:r>
      <w:r>
        <w:rPr>
          <w:rFonts w:ascii="Times New Roman" w:hAnsi="Times New Roman"/>
          <w:sz w:val="24"/>
        </w:rPr>
        <w:t>рассмотрения заявок на участие в аукционе: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08 июля по </w:t>
      </w:r>
      <w:r>
        <w:rPr>
          <w:rFonts w:ascii="Times New Roman" w:hAnsi="Times New Roman"/>
          <w:sz w:val="24"/>
        </w:rPr>
        <w:t>09 июля 2026 года.</w:t>
      </w:r>
      <w:r>
        <w:rPr>
          <w:rFonts w:ascii="Times New Roman" w:hAnsi="Times New Roman"/>
          <w:sz w:val="24"/>
        </w:rPr>
        <w:t xml:space="preserve"> </w:t>
      </w:r>
    </w:p>
    <w:p w14:paraId="CB000000">
      <w:pPr>
        <w:pStyle w:val="Style_4"/>
        <w:widowControl w:val="1"/>
        <w:spacing w:before="0"/>
        <w:ind/>
      </w:pPr>
      <w:r>
        <w:t xml:space="preserve">Организатор аукциона </w:t>
      </w:r>
      <w:r>
        <w:t>составляе</w:t>
      </w:r>
      <w:r>
        <w:t xml:space="preserve">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</w:t>
      </w:r>
    </w:p>
    <w:p w14:paraId="CC000000">
      <w:pPr>
        <w:pStyle w:val="Style_4"/>
        <w:widowControl w:val="1"/>
        <w:spacing w:before="0"/>
        <w:ind/>
      </w:pPr>
      <w: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на официальн</w:t>
      </w:r>
      <w:r>
        <w:t>ый</w:t>
      </w:r>
      <w:r>
        <w:t xml:space="preserve"> сайт</w:t>
      </w:r>
      <w:r>
        <w:t xml:space="preserve"> торгов.</w:t>
      </w:r>
      <w:r>
        <w:t xml:space="preserve"> Сведения о заявителях, не допущенных к участию в аукционе, с указанием причин отказа в допуске к участию в нем размещаются на официальном сайте торгов не позднее чем на следующий день после дня подписания протокола рассмотрения заявок.</w:t>
      </w:r>
    </w:p>
    <w:p w14:paraId="CD000000">
      <w:pPr>
        <w:pStyle w:val="Style_4"/>
        <w:widowControl w:val="1"/>
        <w:spacing w:before="0"/>
        <w:ind/>
      </w:pPr>
      <w: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</w:t>
      </w:r>
      <w:r>
        <w:t>рассмотрения заявок на участие в электронном аукционе</w:t>
      </w:r>
      <w:r>
        <w:t>.</w:t>
      </w:r>
    </w:p>
    <w:p w14:paraId="CE000000">
      <w:pPr>
        <w:pStyle w:val="Style_4"/>
        <w:widowControl w:val="1"/>
        <w:spacing w:before="0"/>
        <w:ind/>
      </w:pPr>
      <w: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14:paraId="CF000000">
      <w:pPr>
        <w:pStyle w:val="Style_6"/>
        <w:widowControl w:val="1"/>
        <w:tabs>
          <w:tab w:leader="none" w:pos="709" w:val="left"/>
        </w:tabs>
        <w:spacing w:before="0"/>
        <w:ind/>
        <w:rPr>
          <w:rFonts w:ascii="Times New Roman" w:hAnsi="Times New Roman"/>
          <w:color w:val="000000"/>
          <w:sz w:val="16"/>
        </w:rPr>
      </w:pPr>
    </w:p>
    <w:p w14:paraId="D0000000">
      <w:pPr>
        <w:pStyle w:val="Style_6"/>
        <w:widowControl w:val="1"/>
        <w:tabs>
          <w:tab w:leader="none" w:pos="709" w:val="left"/>
        </w:tabs>
        <w:spacing w:before="0"/>
        <w:ind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</w:t>
      </w:r>
      <w:r>
        <w:rPr>
          <w:rFonts w:ascii="Times New Roman" w:hAnsi="Times New Roman"/>
          <w:b w:val="1"/>
          <w:color w:val="000000"/>
          <w:sz w:val="24"/>
        </w:rPr>
        <w:t>роведени</w:t>
      </w:r>
      <w:r>
        <w:rPr>
          <w:rFonts w:ascii="Times New Roman" w:hAnsi="Times New Roman"/>
          <w:b w:val="1"/>
          <w:color w:val="000000"/>
          <w:sz w:val="24"/>
        </w:rPr>
        <w:t>е</w:t>
      </w:r>
      <w:r>
        <w:rPr>
          <w:rFonts w:ascii="Times New Roman" w:hAnsi="Times New Roman"/>
          <w:b w:val="1"/>
          <w:color w:val="000000"/>
          <w:sz w:val="24"/>
        </w:rPr>
        <w:t xml:space="preserve"> аукциона</w:t>
      </w:r>
      <w:r>
        <w:rPr>
          <w:rFonts w:ascii="Times New Roman" w:hAnsi="Times New Roman"/>
          <w:b w:val="1"/>
          <w:color w:val="000000"/>
          <w:sz w:val="24"/>
        </w:rPr>
        <w:t xml:space="preserve">. Протокол о </w:t>
      </w:r>
      <w:r>
        <w:rPr>
          <w:rFonts w:ascii="Times New Roman" w:hAnsi="Times New Roman"/>
          <w:b w:val="1"/>
          <w:color w:val="000000"/>
          <w:sz w:val="24"/>
        </w:rPr>
        <w:t>результатах электронного аукциона</w:t>
      </w:r>
    </w:p>
    <w:p w14:paraId="D1000000">
      <w:pPr>
        <w:widowControl w:val="1"/>
        <w:spacing w:before="2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u w:val="single"/>
        </w:rPr>
        <w:t xml:space="preserve">Дата и время </w:t>
      </w:r>
      <w:r>
        <w:rPr>
          <w:rFonts w:ascii="Times New Roman" w:hAnsi="Times New Roman"/>
          <w:color w:val="000000"/>
          <w:sz w:val="24"/>
          <w:u w:val="single"/>
        </w:rPr>
        <w:t xml:space="preserve">начала </w:t>
      </w:r>
      <w:r>
        <w:rPr>
          <w:rFonts w:ascii="Times New Roman" w:hAnsi="Times New Roman"/>
          <w:color w:val="000000"/>
          <w:sz w:val="24"/>
          <w:u w:val="single"/>
        </w:rPr>
        <w:t>проведения аукциона</w:t>
      </w:r>
      <w:r>
        <w:t xml:space="preserve"> </w:t>
      </w:r>
      <w:r>
        <w:rPr>
          <w:rFonts w:ascii="Times New Roman" w:hAnsi="Times New Roman"/>
          <w:color w:val="000000"/>
          <w:sz w:val="24"/>
        </w:rPr>
        <w:t xml:space="preserve">– </w:t>
      </w:r>
      <w:r>
        <w:rPr>
          <w:rFonts w:ascii="Times New Roman" w:hAnsi="Times New Roman"/>
          <w:color w:val="000000"/>
          <w:sz w:val="24"/>
        </w:rPr>
        <w:t>10</w:t>
      </w:r>
      <w:r>
        <w:rPr>
          <w:rFonts w:ascii="Times New Roman" w:hAnsi="Times New Roman"/>
          <w:color w:val="000000"/>
          <w:sz w:val="24"/>
        </w:rPr>
        <w:t xml:space="preserve"> июля 2026 года, в 03:00 по московскому времени (в 09:00 по читинскому времени).</w:t>
      </w:r>
    </w:p>
    <w:p w14:paraId="D2000000">
      <w:pPr>
        <w:widowControl w:val="1"/>
        <w:spacing w:before="2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u w:val="single"/>
        </w:rPr>
        <w:t>Место проведения аукциона:</w:t>
      </w:r>
      <w:r>
        <w:rPr>
          <w:color w:val="000000"/>
        </w:rPr>
        <w:t xml:space="preserve"> </w:t>
      </w:r>
      <w:r>
        <w:rPr>
          <w:rFonts w:ascii="Times New Roman" w:hAnsi="Times New Roman"/>
          <w:sz w:val="24"/>
        </w:rPr>
        <w:t>Электронная торговая площадка «Сбербанк-АСТ»</w:t>
      </w:r>
      <w:r>
        <w:rPr>
          <w:rFonts w:ascii="Times New Roman" w:hAnsi="Times New Roman"/>
          <w:sz w:val="24"/>
        </w:rPr>
        <w:t>, сайт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"https://utp.sberbank-ast.ru/"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https://utp.sberbank-ast.ru/</w:t>
      </w:r>
      <w:r>
        <w:rPr>
          <w:rFonts w:ascii="Times New Roman" w:hAnsi="Times New Roman"/>
          <w:sz w:val="24"/>
        </w:rPr>
        <w:fldChar w:fldCharType="end"/>
      </w:r>
    </w:p>
    <w:p w14:paraId="D3000000">
      <w:pPr>
        <w:pStyle w:val="Style_4"/>
        <w:widowControl w:val="1"/>
        <w:spacing w:before="20"/>
        <w:ind/>
      </w:pPr>
      <w: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14:paraId="D4000000">
      <w:pPr>
        <w:pStyle w:val="Style_4"/>
        <w:widowControl w:val="1"/>
        <w:spacing w:before="0"/>
        <w:ind/>
      </w:pPr>
      <w: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</w:t>
      </w:r>
    </w:p>
    <w:p w14:paraId="D5000000">
      <w:pPr>
        <w:pStyle w:val="Style_4"/>
        <w:widowControl w:val="1"/>
        <w:spacing w:before="0"/>
        <w:ind/>
      </w:pPr>
      <w:r>
        <w:t xml:space="preserve">На основании </w:t>
      </w:r>
      <w:r>
        <w:t>протокола проведения электронного аукциона, подписанного оператором электронной площадки,</w:t>
      </w:r>
      <w:r>
        <w:t xml:space="preserve">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</w:t>
      </w:r>
      <w:r>
        <w:t>электронной площадке в автоматическом режиме направляется оператором электронной площадки для размещения на официальном сайте</w:t>
      </w:r>
      <w:r>
        <w:t xml:space="preserve"> торгов</w:t>
      </w:r>
      <w:r>
        <w:t>.</w:t>
      </w:r>
    </w:p>
    <w:p w14:paraId="D6000000">
      <w:pPr>
        <w:pStyle w:val="Style_4"/>
        <w:widowControl w:val="1"/>
        <w:spacing w:before="0"/>
        <w:ind/>
      </w:pPr>
      <w:r>
        <w:t xml:space="preserve">В протоколе </w:t>
      </w:r>
      <w:r>
        <w:t xml:space="preserve">о результатах электронного аукциона </w:t>
      </w:r>
      <w:r>
        <w:t>указываются:</w:t>
      </w:r>
    </w:p>
    <w:p w14:paraId="D7000000">
      <w:pPr>
        <w:pStyle w:val="Style_4"/>
        <w:widowControl w:val="1"/>
        <w:spacing w:before="0"/>
        <w:ind/>
      </w:pPr>
      <w:r>
        <w:t>1) сведения о месте, дате и времени проведения аукциона;</w:t>
      </w:r>
    </w:p>
    <w:p w14:paraId="D8000000">
      <w:pPr>
        <w:pStyle w:val="Style_4"/>
        <w:widowControl w:val="1"/>
        <w:spacing w:before="0"/>
        <w:ind/>
      </w:pPr>
      <w:r>
        <w:t>2) предмет аукциона, в том числе сведения о местоположении и площади земельного участка;</w:t>
      </w:r>
    </w:p>
    <w:p w14:paraId="D9000000">
      <w:pPr>
        <w:pStyle w:val="Style_4"/>
        <w:widowControl w:val="1"/>
        <w:spacing w:before="0"/>
        <w:ind/>
      </w:pPr>
      <w: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14:paraId="DA000000">
      <w:pPr>
        <w:pStyle w:val="Style_4"/>
        <w:widowControl w:val="1"/>
        <w:spacing w:before="0"/>
        <w:ind/>
      </w:pPr>
      <w:bookmarkStart w:id="4" w:name="P1512"/>
      <w:bookmarkEnd w:id="4"/>
      <w:r>
        <w:t>4) 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</w:r>
    </w:p>
    <w:p w14:paraId="DB000000">
      <w:pPr>
        <w:pStyle w:val="Style_4"/>
        <w:widowControl w:val="1"/>
        <w:spacing w:before="0"/>
        <w:ind/>
      </w:pPr>
      <w:r>
        <w:t>5) сведения о последнем предложении о цене предмета аукциона (размер ежегодной арендной платы).</w:t>
      </w:r>
    </w:p>
    <w:p w14:paraId="DC000000">
      <w:pPr>
        <w:pStyle w:val="Style_4"/>
        <w:widowControl w:val="1"/>
        <w:spacing w:before="0"/>
        <w:ind/>
      </w:pPr>
      <w: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DD000000">
      <w:pPr>
        <w:pStyle w:val="Style_4"/>
        <w:widowControl w:val="1"/>
        <w:spacing w:before="0"/>
        <w:ind/>
      </w:pPr>
      <w: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в процессе торгов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14:paraId="DE000000">
      <w:pPr>
        <w:pStyle w:val="Style_4"/>
        <w:widowControl w:val="1"/>
        <w:spacing w:before="0"/>
        <w:ind/>
        <w:outlineLvl w:val="0"/>
        <w:rPr>
          <w:sz w:val="12"/>
        </w:rPr>
      </w:pPr>
    </w:p>
    <w:p w14:paraId="DF000000">
      <w:pPr>
        <w:widowControl w:val="1"/>
        <w:spacing w:before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Заключение договора аренды земельного участка</w:t>
      </w:r>
      <w:r>
        <w:rPr>
          <w:rFonts w:ascii="Times New Roman" w:hAnsi="Times New Roman"/>
          <w:b w:val="1"/>
          <w:sz w:val="24"/>
        </w:rPr>
        <w:tab/>
      </w:r>
    </w:p>
    <w:p w14:paraId="E0000000">
      <w:pPr>
        <w:pStyle w:val="Style_4"/>
        <w:widowControl w:val="1"/>
        <w:spacing w:before="0"/>
        <w:ind/>
      </w:pPr>
      <w:r>
        <w:rPr>
          <w:color w:val="000000"/>
        </w:rPr>
        <w:t>Проект договора аренды земельного участка - приложение № 3 к извещению о проведении электронного аукциона.</w:t>
      </w:r>
    </w:p>
    <w:p w14:paraId="E1000000">
      <w:pPr>
        <w:pStyle w:val="Style_4"/>
        <w:widowControl w:val="1"/>
        <w:spacing w:before="0"/>
        <w:ind/>
      </w:pPr>
      <w:r>
        <w:t>По результатам проведения электронного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14:paraId="E2000000">
      <w:pPr>
        <w:pStyle w:val="Style_4"/>
        <w:widowControl w:val="1"/>
        <w:spacing w:before="0"/>
        <w:ind/>
      </w:pPr>
      <w:r>
        <w:t xml:space="preserve">Уполномоченный орган обязан в течение пяти дней со дня истечения срока, предусмотренного </w:t>
      </w:r>
      <w:r>
        <w:fldChar w:fldCharType="begin"/>
      </w:r>
      <w:r>
        <w:instrText>HYPERLINK "file:///D:/rev/Земля%20-%20обращенные%20зем%20уч/Земельный%20кодекс%20Российской%20Федерации%20%20от%2025.10.2001%20N%20136-Ф%20(1).docx#P1611" \o "11. 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дня"</w:instrText>
      </w:r>
      <w:r>
        <w:fldChar w:fldCharType="separate"/>
      </w:r>
      <w:r>
        <w:t>пунктом 11</w:t>
      </w:r>
      <w:r>
        <w:fldChar w:fldCharType="end"/>
      </w:r>
      <w:r>
        <w:t xml:space="preserve">  статьи 39.13 Земельного кодекса РФ, направить победителю электронного аукциона или иным лицам, с которыми в соответствии с </w:t>
      </w:r>
      <w:r>
        <w:fldChar w:fldCharType="begin"/>
      </w:r>
      <w:r>
        <w:instrText>HYPERLINK "file:///D:/rev/Земля%20-%20обращенные%20зем%20уч/Земельный%20кодекс%20Российской%20Федерации%20%20от%2025.10.2001%20N%20136-Ф%20(1).docx#P1495" \o "13. 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протокола, указанного в пункте 9 настоящей статьи, обязан направить заявителю два экземпляр"</w:instrText>
      </w:r>
      <w:r>
        <w:fldChar w:fldCharType="separate"/>
      </w:r>
      <w:r>
        <w:t>пунктами 13</w:t>
      </w:r>
      <w:r>
        <w:fldChar w:fldCharType="end"/>
      </w:r>
      <w:r>
        <w:t xml:space="preserve">, </w:t>
      </w:r>
      <w:r>
        <w:fldChar w:fldCharType="begin"/>
      </w:r>
      <w:r>
        <w:instrText>HYPERLINK "file:///D:/rev/Земля%20-%20обращенные%20зем%20уч/Земельный%20кодекс%20Российской%20Федерации%20%20от%2025.10.2001%20N%20136-Ф%20(1).docx#P1499" \o "14. 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уполномо"</w:instrText>
      </w:r>
      <w:r>
        <w:fldChar w:fldCharType="separate"/>
      </w:r>
      <w:r>
        <w:t>14</w:t>
      </w:r>
      <w:r>
        <w:fldChar w:fldCharType="end"/>
      </w:r>
      <w:r>
        <w:t xml:space="preserve">, </w:t>
      </w:r>
      <w:r>
        <w:fldChar w:fldCharType="begin"/>
      </w:r>
      <w:r>
        <w:instrText>HYPERLINK "file:///D:/rev/Земля%20-%20обращенные%20зем%20уч/Земельный%20кодекс%20Российской%20Федерации%20%20от%2025.10.2001%20N%20136-Ф%20(1).docx#P1527" \o "20.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или проекта договора аренды земельного участка в пятидневный срок со дня соста"</w:instrText>
      </w:r>
      <w:r>
        <w:fldChar w:fldCharType="separate"/>
      </w:r>
      <w:r>
        <w:t>20</w:t>
      </w:r>
      <w:r>
        <w:fldChar w:fldCharType="end"/>
      </w:r>
      <w:r>
        <w:t xml:space="preserve"> и </w:t>
      </w:r>
      <w:r>
        <w:fldChar w:fldCharType="begin"/>
      </w:r>
      <w:r>
        <w:instrText>HYPERLINK "file:///D:/rev/Земля%20-%20обращенные%20зем%20уч/Земельный%20кодекс%20Российской%20Федерации%20%20от%2025.10.2001%20N%20136-Ф%20(1).docx#P1542" \o "25. 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направл"</w:instrText>
      </w:r>
      <w:r>
        <w:fldChar w:fldCharType="separate"/>
      </w:r>
      <w:r>
        <w:t>25 статьи 39.12</w:t>
      </w:r>
      <w:r>
        <w:fldChar w:fldCharType="end"/>
      </w:r>
      <w:r>
        <w:t xml:space="preserve"> Земельного кодекса РФ заключается договор аренды земельного участка, проект договора аренды земельного участка.</w:t>
      </w:r>
    </w:p>
    <w:p w14:paraId="E3000000">
      <w:pPr>
        <w:pStyle w:val="Style_4"/>
        <w:widowControl w:val="1"/>
        <w:spacing w:before="0"/>
        <w:ind/>
      </w:pPr>
      <w:r>
        <w:t>В случае, если аукцион признан несостоявшимся и только один заявитель признан участником аукциона, уполномоченный орган обязан направить заявителю проект договора аренды земельного участка</w:t>
      </w:r>
      <w:r>
        <w:t xml:space="preserve"> в электронной форме</w:t>
      </w:r>
      <w:r>
        <w:t>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E4000000">
      <w:pPr>
        <w:pStyle w:val="Style_4"/>
        <w:widowControl w:val="1"/>
        <w:spacing w:before="0"/>
        <w:ind/>
      </w:pPr>
      <w:r>
        <w:t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обязан направить такому лицу проект договора аренды земельного участка в электронной форме.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E5000000">
      <w:pPr>
        <w:pStyle w:val="Style_4"/>
        <w:widowControl w:val="1"/>
        <w:spacing w:before="0"/>
        <w:ind/>
      </w:pPr>
      <w: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E6000000">
      <w:pPr>
        <w:pStyle w:val="Style_4"/>
        <w:widowControl w:val="1"/>
        <w:spacing w:before="0"/>
        <w:ind/>
      </w:pPr>
      <w:r>
        <w:t>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подписан, уполномоченный орган направляет указанны</w:t>
      </w:r>
      <w:r>
        <w:t>й</w:t>
      </w:r>
      <w:r>
        <w:t xml:space="preserve"> договор участнику аукциона, который сделал </w:t>
      </w:r>
      <w:r>
        <w:t>предпоследнее предложение о цене предмета аукциона, для заключения</w:t>
      </w:r>
      <w:r>
        <w:t xml:space="preserve"> договора</w:t>
      </w:r>
      <w:r>
        <w:t xml:space="preserve"> по цене, предложенной таким участником аукциона.</w:t>
      </w:r>
    </w:p>
    <w:p w14:paraId="E7000000">
      <w:pPr>
        <w:pStyle w:val="Style_4"/>
        <w:widowControl w:val="1"/>
        <w:spacing w:before="0"/>
        <w:ind/>
      </w:pPr>
      <w: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</w:t>
      </w:r>
      <w:r>
        <w:t>подписал</w:t>
      </w:r>
      <w:r>
        <w:t xml:space="preserve"> договор, уполномоченный орган вправе объявить о проведении повторного аукциона или распорядиться земельным участком иным образом в соответствии с </w:t>
      </w:r>
      <w:r>
        <w:t>Земельным</w:t>
      </w:r>
      <w:r>
        <w:t xml:space="preserve"> </w:t>
      </w:r>
      <w:r>
        <w:t>к</w:t>
      </w:r>
      <w:r>
        <w:t>одексом</w:t>
      </w:r>
      <w:r>
        <w:t xml:space="preserve"> РФ</w:t>
      </w:r>
      <w:r>
        <w:t>.</w:t>
      </w:r>
    </w:p>
    <w:p w14:paraId="E8000000">
      <w:pPr>
        <w:pStyle w:val="Style_4"/>
        <w:widowControl w:val="1"/>
        <w:spacing w:before="0"/>
        <w:ind/>
      </w:pPr>
      <w:r>
        <w:t xml:space="preserve"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</w:r>
      <w:r>
        <w:t>пунктом 13</w:t>
      </w:r>
      <w:r>
        <w:t xml:space="preserve">, </w:t>
      </w:r>
      <w:r>
        <w:t>14</w:t>
      </w:r>
      <w:r>
        <w:t xml:space="preserve">, </w:t>
      </w:r>
      <w:r>
        <w:t>20</w:t>
      </w:r>
      <w:r>
        <w:t xml:space="preserve"> или </w:t>
      </w:r>
      <w:r>
        <w:t>25</w:t>
      </w:r>
      <w:r>
        <w:t xml:space="preserve"> статьи</w:t>
      </w:r>
      <w:r>
        <w:t xml:space="preserve"> 39.12 Земельного кодекса РФ</w:t>
      </w:r>
      <w:r>
        <w:t xml:space="preserve"> и которые уклонились от их заключения, включаются в реестр недобросовестных участников аукциона.</w:t>
      </w:r>
    </w:p>
    <w:p w14:paraId="E9000000">
      <w:pPr>
        <w:pStyle w:val="Style_4"/>
        <w:widowControl w:val="1"/>
        <w:spacing w:before="0"/>
        <w:ind/>
      </w:pPr>
      <w:r>
        <w:t xml:space="preserve">В случае, если победитель аукциона или иное лицо, с которым договор аренды земельного участка заключается в соответствии с </w:t>
      </w:r>
      <w:r>
        <w:t>пунктом 13</w:t>
      </w:r>
      <w:r>
        <w:t xml:space="preserve">, </w:t>
      </w:r>
      <w:r>
        <w:t>14</w:t>
      </w:r>
      <w:r>
        <w:t xml:space="preserve">, </w:t>
      </w:r>
      <w:r>
        <w:t>20</w:t>
      </w:r>
      <w:r>
        <w:t xml:space="preserve"> или </w:t>
      </w:r>
      <w:r>
        <w:t>25</w:t>
      </w:r>
      <w:r>
        <w:t xml:space="preserve"> статьи 39.12 Земельного кодекс РФ, в течение десяти рабочих дней со дня направления им уполномоченным органом проекта указанного договора не подписали указанны</w:t>
      </w:r>
      <w:r>
        <w:t>й</w:t>
      </w:r>
      <w:r>
        <w:t xml:space="preserve"> договор, уполномоченный орган в течение пяти рабочих дней со дня истечения этого срока направляет сведения, предусмотренные </w:t>
      </w:r>
      <w:r>
        <w:t>подпунктами 1</w:t>
      </w:r>
      <w:r>
        <w:t xml:space="preserve"> - </w:t>
      </w:r>
      <w:r>
        <w:t>3 пункта 29</w:t>
      </w:r>
      <w:r>
        <w:t xml:space="preserve"> статьи 39.12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14:paraId="EA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Арендатор земельного участка </w:t>
      </w:r>
      <w:r>
        <w:rPr>
          <w:rFonts w:ascii="Times New Roman" w:hAnsi="Times New Roman"/>
          <w:sz w:val="24"/>
        </w:rPr>
        <w:t>не вправе уступать права</w:t>
      </w:r>
      <w:r>
        <w:rPr>
          <w:rFonts w:ascii="Times New Roman" w:hAnsi="Times New Roman"/>
          <w:sz w:val="24"/>
        </w:rPr>
        <w:t>, не вправе</w:t>
      </w:r>
      <w:r>
        <w:rPr>
          <w:rFonts w:ascii="Times New Roman" w:hAnsi="Times New Roman"/>
          <w:sz w:val="24"/>
        </w:rPr>
        <w:t xml:space="preserve"> осуществлять перевод долга по обязательствам,</w:t>
      </w:r>
      <w:r>
        <w:rPr>
          <w:rFonts w:ascii="Times New Roman" w:hAnsi="Times New Roman"/>
          <w:sz w:val="24"/>
        </w:rPr>
        <w:t xml:space="preserve"> предусмотренным</w:t>
      </w:r>
      <w:r>
        <w:rPr>
          <w:rFonts w:ascii="Times New Roman" w:hAnsi="Times New Roman"/>
          <w:sz w:val="24"/>
        </w:rPr>
        <w:t xml:space="preserve"> заключенн</w:t>
      </w:r>
      <w:r>
        <w:rPr>
          <w:rFonts w:ascii="Times New Roman" w:hAnsi="Times New Roman"/>
          <w:sz w:val="24"/>
        </w:rPr>
        <w:t>ым</w:t>
      </w:r>
      <w:r>
        <w:rPr>
          <w:rFonts w:ascii="Times New Roman" w:hAnsi="Times New Roman"/>
          <w:sz w:val="24"/>
        </w:rPr>
        <w:t xml:space="preserve"> на торгах договор</w:t>
      </w:r>
      <w:r>
        <w:rPr>
          <w:rFonts w:ascii="Times New Roman" w:hAnsi="Times New Roman"/>
          <w:sz w:val="24"/>
        </w:rPr>
        <w:t>ом аренды.</w:t>
      </w:r>
    </w:p>
    <w:p w14:paraId="EB000000">
      <w:pPr>
        <w:widowControl w:val="1"/>
        <w:spacing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Арендатор земельного участка, находящегося в государственной собственности, не имеет преимущественного права на заключение на новый срок договора аренды такого земельного участка без проведения торгов.</w:t>
      </w:r>
    </w:p>
    <w:p w14:paraId="EC000000">
      <w:pPr>
        <w:pStyle w:val="Style_4"/>
        <w:widowControl w:val="1"/>
        <w:spacing w:before="0"/>
        <w:ind/>
        <w:outlineLvl w:val="0"/>
        <w:rPr>
          <w:sz w:val="12"/>
        </w:rPr>
      </w:pPr>
    </w:p>
    <w:p w14:paraId="ED000000">
      <w:pPr>
        <w:pStyle w:val="Style_4"/>
        <w:widowControl w:val="1"/>
        <w:spacing w:before="0"/>
        <w:ind/>
        <w:rPr>
          <w:color w:val="000000"/>
        </w:rPr>
      </w:pPr>
      <w:r>
        <w:rPr>
          <w:b w:val="1"/>
          <w:color w:val="000000"/>
        </w:rPr>
        <w:t>Размер взимаемой с победителя электронного аукциона или иного лица, с которым заключается договор аренды земельного участка, платы оператору электронной площадки за участие в электронном аукционе,</w:t>
      </w:r>
      <w:r>
        <w:rPr>
          <w:color w:val="000000"/>
        </w:rPr>
        <w:t xml:space="preserve"> </w:t>
      </w:r>
      <w:r>
        <w:rPr>
          <w:color w:val="000000"/>
        </w:rPr>
        <w:t>- указан на сайте электронной торговой площадки. Размер платы не превышает предельного размера, установленного Постановлением Правительства Российской Федерации от 10.05.2018 № 564.</w:t>
      </w:r>
      <w:r>
        <w:rPr>
          <w:color w:val="000000"/>
        </w:rPr>
        <w:t xml:space="preserve"> Постановление Правительства Российской Федерации от 10.05.2018 № 564 у</w:t>
      </w:r>
      <w:r>
        <w:rPr>
          <w:color w:val="000000"/>
        </w:rPr>
        <w:t>твер</w:t>
      </w:r>
      <w:r>
        <w:rPr>
          <w:color w:val="000000"/>
        </w:rPr>
        <w:t>дило</w:t>
      </w:r>
      <w:r>
        <w:rPr>
          <w:color w:val="000000"/>
        </w:rPr>
        <w:t>, что</w:t>
      </w:r>
      <w:r>
        <w:rPr>
          <w:color w:val="000000"/>
        </w:rPr>
        <w:t xml:space="preserve"> предельный</w:t>
      </w:r>
      <w:r>
        <w:rPr>
          <w:color w:val="000000"/>
        </w:rPr>
        <w:t xml:space="preserve"> </w:t>
      </w:r>
      <w:r>
        <w:rPr>
          <w:color w:val="000000"/>
        </w:rPr>
        <w:t xml:space="preserve">размер платы составляет </w:t>
      </w:r>
      <w:r>
        <w:rPr>
          <w:color w:val="000000"/>
        </w:rPr>
        <w:t>один процент начальной цены предмета аукциона, но не более чем 7,5 тыс.рублей без учета налога на добавленную стоимость.</w:t>
      </w:r>
    </w:p>
    <w:p w14:paraId="EE000000">
      <w:pPr>
        <w:pStyle w:val="Style_4"/>
        <w:widowControl w:val="1"/>
        <w:spacing w:before="0"/>
        <w:ind/>
        <w:rPr>
          <w:color w:val="000000"/>
        </w:rPr>
      </w:pPr>
    </w:p>
    <w:p w14:paraId="EF000000">
      <w:pPr>
        <w:pStyle w:val="Style_4"/>
        <w:widowControl w:val="1"/>
        <w:spacing w:before="0"/>
        <w:ind/>
        <w:rPr>
          <w:b w:val="1"/>
          <w:color w:val="000000"/>
        </w:rPr>
      </w:pPr>
      <w:r>
        <w:rPr>
          <w:b w:val="1"/>
          <w:color w:val="000000"/>
        </w:rPr>
        <w:t>Приложения</w:t>
      </w:r>
      <w:r>
        <w:rPr>
          <w:b w:val="1"/>
          <w:color w:val="000000"/>
        </w:rPr>
        <w:t xml:space="preserve"> к извещению о проведении электронного аукциона</w:t>
      </w:r>
      <w:r>
        <w:rPr>
          <w:b w:val="1"/>
          <w:color w:val="000000"/>
        </w:rPr>
        <w:t>:</w:t>
      </w:r>
    </w:p>
    <w:p w14:paraId="F0000000">
      <w:pPr>
        <w:pStyle w:val="Style_4"/>
        <w:rPr>
          <w:color w:val="000000"/>
        </w:rPr>
      </w:pPr>
      <w:r>
        <w:rPr>
          <w:color w:val="000000"/>
        </w:rPr>
        <w:t>Приложение № 1.</w:t>
      </w:r>
      <w:r>
        <w:rPr>
          <w:color w:val="000000"/>
        </w:rPr>
        <w:t xml:space="preserve"> Форма заявки на участие в электронном аукционе.</w:t>
      </w:r>
    </w:p>
    <w:p w14:paraId="F1000000">
      <w:pPr>
        <w:pStyle w:val="Style_4"/>
        <w:rPr>
          <w:b w:val="1"/>
          <w:sz w:val="22"/>
        </w:rPr>
      </w:pPr>
      <w:r>
        <w:rPr>
          <w:color w:val="000000"/>
        </w:rPr>
        <w:t xml:space="preserve">Приложение № 2. Форма </w:t>
      </w:r>
      <w:r>
        <w:t>согласи</w:t>
      </w:r>
      <w:r>
        <w:t>я</w:t>
      </w:r>
      <w:r>
        <w:t xml:space="preserve"> на обработку персональных данных</w:t>
      </w:r>
    </w:p>
    <w:p w14:paraId="F2000000">
      <w:pPr>
        <w:pStyle w:val="Style_4"/>
        <w:rPr>
          <w:color w:val="000000"/>
        </w:rPr>
      </w:pPr>
      <w:r>
        <w:rPr>
          <w:color w:val="000000"/>
        </w:rPr>
        <w:t xml:space="preserve">Приложение № </w:t>
      </w:r>
      <w:r>
        <w:rPr>
          <w:color w:val="000000"/>
        </w:rPr>
        <w:t>3</w:t>
      </w:r>
      <w:r>
        <w:rPr>
          <w:color w:val="000000"/>
        </w:rPr>
        <w:t>. Проект договора аренды земельного участка.</w:t>
      </w:r>
    </w:p>
    <w:p w14:paraId="F3000000">
      <w:pPr>
        <w:pStyle w:val="Style_4"/>
        <w:rPr>
          <w:color w:val="000000"/>
        </w:rPr>
      </w:pPr>
      <w:r>
        <w:rPr>
          <w:color w:val="000000"/>
        </w:rPr>
        <w:t xml:space="preserve">Приложение № 4. </w:t>
      </w:r>
      <w:r>
        <w:rPr>
          <w:color w:val="000000"/>
        </w:rPr>
        <w:t>Г</w:t>
      </w:r>
      <w:r>
        <w:rPr>
          <w:color w:val="000000"/>
        </w:rPr>
        <w:t>радостроительн</w:t>
      </w:r>
      <w:r>
        <w:rPr>
          <w:color w:val="000000"/>
        </w:rPr>
        <w:t>ый</w:t>
      </w:r>
      <w:r>
        <w:rPr>
          <w:color w:val="000000"/>
        </w:rPr>
        <w:t xml:space="preserve"> план земельного участка</w:t>
      </w:r>
      <w:r>
        <w:rPr>
          <w:color w:val="000000"/>
        </w:rPr>
        <w:t>.</w:t>
      </w:r>
    </w:p>
    <w:p w14:paraId="F4000000">
      <w:pPr>
        <w:pStyle w:val="Style_4"/>
        <w:rPr>
          <w:color w:val="000000"/>
        </w:rPr>
      </w:pPr>
      <w:r>
        <w:rPr>
          <w:color w:val="000000"/>
        </w:rPr>
        <w:t xml:space="preserve">Приложение № 5. </w:t>
      </w:r>
      <w:r>
        <w:rPr>
          <w:color w:val="000000"/>
        </w:rPr>
        <w:t>Письмо Харагунской сельской администрации Хилокского муниципального округа № 79 от 23.04.2026.</w:t>
      </w:r>
    </w:p>
    <w:sectPr>
      <w:headerReference r:id="rId1" w:type="default"/>
      <w:pgSz w:h="16838" w:orient="portrait" w:w="11906"/>
      <w:pgMar w:bottom="851" w:footer="709" w:gutter="0" w:header="709" w:left="1418" w:right="851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60" w:line="240" w:lineRule="auto"/>
        <w:ind w:firstLine="567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Body Text 2"/>
    <w:basedOn w:val="Style_7"/>
    <w:link w:val="Style_8_ch"/>
    <w:pPr>
      <w:widowControl w:val="0"/>
      <w:spacing w:after="120" w:line="480" w:lineRule="auto"/>
      <w:ind/>
    </w:pPr>
    <w:rPr>
      <w:rFonts w:ascii="Times New Roman" w:hAnsi="Times New Roman"/>
      <w:sz w:val="28"/>
    </w:rPr>
  </w:style>
  <w:style w:styleId="Style_8_ch" w:type="character">
    <w:name w:val="Body Text 2"/>
    <w:basedOn w:val="Style_7_ch"/>
    <w:link w:val="Style_8"/>
    <w:rPr>
      <w:rFonts w:ascii="Times New Roman" w:hAnsi="Times New Roman"/>
      <w:sz w:val="28"/>
    </w:rPr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Body Text Indent 3"/>
    <w:basedOn w:val="Style_7"/>
    <w:link w:val="Style_12_ch"/>
    <w:pPr>
      <w:widowControl w:val="1"/>
      <w:spacing w:after="120"/>
      <w:ind w:left="283"/>
    </w:pPr>
    <w:rPr>
      <w:rFonts w:ascii="Times New Roman" w:hAnsi="Times New Roman"/>
      <w:sz w:val="16"/>
    </w:rPr>
  </w:style>
  <w:style w:styleId="Style_12_ch" w:type="character">
    <w:name w:val="Body Text Indent 3"/>
    <w:basedOn w:val="Style_7_ch"/>
    <w:link w:val="Style_12"/>
    <w:rPr>
      <w:rFonts w:ascii="Times New Roman" w:hAnsi="Times New Roman"/>
      <w:sz w:val="16"/>
    </w:rPr>
  </w:style>
  <w:style w:styleId="Style_13" w:type="paragraph">
    <w:name w:val="toc 7"/>
    <w:next w:val="Style_7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4" w:type="paragraph">
    <w:name w:val="ConsPlusNormal"/>
    <w:link w:val="Style_4_ch"/>
    <w:rPr>
      <w:rFonts w:ascii="Times New Roman" w:hAnsi="Times New Roman"/>
      <w:sz w:val="24"/>
    </w:rPr>
  </w:style>
  <w:style w:styleId="Style_4_ch" w:type="character">
    <w:name w:val="ConsPlusNormal"/>
    <w:link w:val="Style_4"/>
    <w:rPr>
      <w:rFonts w:ascii="Times New Roman" w:hAnsi="Times New Roman"/>
      <w:sz w:val="24"/>
    </w:rPr>
  </w:style>
  <w:style w:styleId="Style_14" w:type="paragraph">
    <w:name w:val="footer"/>
    <w:basedOn w:val="Style_7"/>
    <w:link w:val="Style_14_ch"/>
    <w:pPr>
      <w:widowControl w:val="1"/>
      <w:tabs>
        <w:tab w:leader="none" w:pos="4844" w:val="center"/>
        <w:tab w:leader="none" w:pos="9689" w:val="right"/>
      </w:tabs>
      <w:ind/>
    </w:pPr>
  </w:style>
  <w:style w:styleId="Style_14_ch" w:type="character">
    <w:name w:val="footer"/>
    <w:basedOn w:val="Style_7_ch"/>
    <w:link w:val="Style_14"/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7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page number"/>
    <w:basedOn w:val="Style_18"/>
    <w:link w:val="Style_17_ch"/>
  </w:style>
  <w:style w:styleId="Style_17_ch" w:type="character">
    <w:name w:val="page number"/>
    <w:basedOn w:val="Style_18_ch"/>
    <w:link w:val="Style_17"/>
  </w:style>
  <w:style w:styleId="Style_3" w:type="paragraph">
    <w:name w:val="Body Text"/>
    <w:basedOn w:val="Style_7"/>
    <w:link w:val="Style_3_ch"/>
    <w:pPr>
      <w:widowControl w:val="1"/>
      <w:spacing w:after="120"/>
      <w:ind/>
    </w:pPr>
  </w:style>
  <w:style w:styleId="Style_3_ch" w:type="character">
    <w:name w:val="Body Text"/>
    <w:basedOn w:val="Style_7_ch"/>
    <w:link w:val="Style_3"/>
  </w:style>
  <w:style w:styleId="Style_19" w:type="paragraph">
    <w:name w:val="toc 3"/>
    <w:next w:val="Style_7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7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6" w:type="paragraph">
    <w:name w:val="ConsPlusNonformat"/>
    <w:link w:val="Style_6_ch"/>
    <w:pPr>
      <w:widowControl w:val="0"/>
      <w:ind/>
    </w:pPr>
    <w:rPr>
      <w:rFonts w:ascii="Courier New" w:hAnsi="Courier New"/>
      <w:sz w:val="20"/>
    </w:rPr>
  </w:style>
  <w:style w:styleId="Style_6_ch" w:type="character">
    <w:name w:val="ConsPlusNonformat"/>
    <w:link w:val="Style_6"/>
    <w:rPr>
      <w:rFonts w:ascii="Courier New" w:hAnsi="Courier New"/>
      <w:sz w:val="20"/>
    </w:rPr>
  </w:style>
  <w:style w:styleId="Style_21" w:type="paragraph">
    <w:name w:val="heading 1"/>
    <w:next w:val="Style_7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1" w:type="paragraph">
    <w:name w:val="header"/>
    <w:basedOn w:val="Style_7"/>
    <w:link w:val="Style_1_ch"/>
    <w:pPr>
      <w:widowControl w:val="1"/>
      <w:tabs>
        <w:tab w:leader="none" w:pos="4844" w:val="center"/>
        <w:tab w:leader="none" w:pos="9689" w:val="right"/>
      </w:tabs>
      <w:ind/>
    </w:pPr>
  </w:style>
  <w:style w:styleId="Style_1_ch" w:type="character">
    <w:name w:val="header"/>
    <w:basedOn w:val="Style_7_ch"/>
    <w:link w:val="Style_1"/>
  </w:style>
  <w:style w:styleId="Style_22" w:type="paragraph">
    <w:name w:val="Hyperlink"/>
    <w:basedOn w:val="Style_18"/>
    <w:link w:val="Style_22_ch"/>
    <w:rPr>
      <w:color w:val="0066CC"/>
      <w:u w:val="single"/>
    </w:rPr>
  </w:style>
  <w:style w:styleId="Style_22_ch" w:type="character">
    <w:name w:val="Hyperlink"/>
    <w:basedOn w:val="Style_18_ch"/>
    <w:link w:val="Style_22"/>
    <w:rPr>
      <w:color w:val="0066CC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7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Default"/>
    <w:link w:val="Style_26_ch"/>
    <w:rPr>
      <w:rFonts w:ascii="Times New Roman" w:hAnsi="Times New Roman"/>
      <w:color w:val="000000"/>
      <w:sz w:val="24"/>
    </w:rPr>
  </w:style>
  <w:style w:styleId="Style_26_ch" w:type="character">
    <w:name w:val="Default"/>
    <w:link w:val="Style_26"/>
    <w:rPr>
      <w:rFonts w:ascii="Times New Roman" w:hAnsi="Times New Roman"/>
      <w:color w:val="000000"/>
      <w:sz w:val="24"/>
    </w:rPr>
  </w:style>
  <w:style w:styleId="Style_27" w:type="paragraph">
    <w:name w:val="toc 9"/>
    <w:next w:val="Style_7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5" w:type="paragraph">
    <w:name w:val="western"/>
    <w:basedOn w:val="Style_7"/>
    <w:link w:val="Style_5_ch"/>
    <w:pPr>
      <w:widowControl w:val="1"/>
      <w:spacing w:beforeAutospacing="on"/>
      <w:ind/>
    </w:pPr>
    <w:rPr>
      <w:rFonts w:ascii="Times New Roman" w:hAnsi="Times New Roman"/>
      <w:color w:val="000000"/>
      <w:sz w:val="28"/>
    </w:rPr>
  </w:style>
  <w:style w:styleId="Style_5_ch" w:type="character">
    <w:name w:val="western"/>
    <w:basedOn w:val="Style_7_ch"/>
    <w:link w:val="Style_5"/>
    <w:rPr>
      <w:rFonts w:ascii="Times New Roman" w:hAnsi="Times New Roman"/>
      <w:color w:val="000000"/>
      <w:sz w:val="28"/>
    </w:rPr>
  </w:style>
  <w:style w:styleId="Style_28" w:type="paragraph">
    <w:name w:val="toc 8"/>
    <w:next w:val="Style_7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7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basedOn w:val="Style_7"/>
    <w:link w:val="Style_30_ch"/>
    <w:uiPriority w:val="11"/>
    <w:qFormat/>
    <w:pPr>
      <w:widowControl w:val="1"/>
      <w:spacing w:after="60"/>
      <w:ind/>
      <w:jc w:val="center"/>
      <w:outlineLvl w:val="1"/>
    </w:pPr>
    <w:rPr>
      <w:rFonts w:ascii="Arial" w:hAnsi="Arial"/>
      <w:sz w:val="24"/>
    </w:rPr>
  </w:style>
  <w:style w:styleId="Style_30_ch" w:type="character">
    <w:name w:val="Subtitle"/>
    <w:basedOn w:val="Style_7_ch"/>
    <w:link w:val="Style_30"/>
    <w:rPr>
      <w:rFonts w:ascii="Arial" w:hAnsi="Arial"/>
      <w:sz w:val="24"/>
    </w:rPr>
  </w:style>
  <w:style w:styleId="Style_31" w:type="paragraph">
    <w:name w:val="Title"/>
    <w:basedOn w:val="Style_7"/>
    <w:next w:val="Style_30"/>
    <w:link w:val="Style_31_ch"/>
    <w:uiPriority w:val="10"/>
    <w:qFormat/>
    <w:pPr>
      <w:widowControl w:val="1"/>
      <w:ind/>
      <w:jc w:val="center"/>
    </w:pPr>
    <w:rPr>
      <w:rFonts w:ascii="Times New Roman" w:hAnsi="Times New Roman"/>
      <w:b w:val="1"/>
      <w:sz w:val="40"/>
    </w:rPr>
  </w:style>
  <w:style w:styleId="Style_31_ch" w:type="character">
    <w:name w:val="Title"/>
    <w:basedOn w:val="Style_7_ch"/>
    <w:link w:val="Style_31"/>
    <w:rPr>
      <w:rFonts w:ascii="Times New Roman" w:hAnsi="Times New Roman"/>
      <w:b w:val="1"/>
      <w:sz w:val="40"/>
    </w:rPr>
  </w:style>
  <w:style w:styleId="Style_32" w:type="paragraph">
    <w:name w:val="heading 4"/>
    <w:next w:val="Style_7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33" w:type="paragraph">
    <w:name w:val="heading 2"/>
    <w:next w:val="Style_7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4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2021-08-11T06:43:00Z</dcterms:created>
  <dcterms:modified xsi:type="dcterms:W3CDTF">2026-06-09T08:18:02Z</dcterms:modified>
</cp:coreProperties>
</file>